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E2" w:rsidRPr="0096007F" w:rsidRDefault="00E510E2" w:rsidP="00CC76FA">
      <w:pPr>
        <w:autoSpaceDE w:val="0"/>
        <w:autoSpaceDN w:val="0"/>
        <w:bidi/>
        <w:adjustRightInd w:val="0"/>
        <w:jc w:val="center"/>
        <w:rPr>
          <w:rFonts w:ascii="David" w:hAnsi="David" w:cs="David"/>
          <w:b/>
          <w:bCs/>
          <w:rtl/>
        </w:rPr>
      </w:pPr>
      <w:r w:rsidRPr="0096007F">
        <w:rPr>
          <w:rFonts w:ascii="David" w:hAnsi="David" w:cs="David" w:hint="cs"/>
          <w:b/>
          <w:bCs/>
          <w:sz w:val="32"/>
          <w:szCs w:val="32"/>
          <w:u w:val="single"/>
          <w:rtl/>
        </w:rPr>
        <w:t>בקשה ל</w:t>
      </w:r>
      <w:r w:rsidR="00CC76FA" w:rsidRPr="0096007F">
        <w:rPr>
          <w:rFonts w:ascii="David" w:hAnsi="David" w:cs="David" w:hint="cs"/>
          <w:b/>
          <w:bCs/>
          <w:sz w:val="32"/>
          <w:szCs w:val="32"/>
          <w:u w:val="single"/>
          <w:rtl/>
        </w:rPr>
        <w:t>קבלת ראיות נוספות בערעור לרבות התצהיר ותקליטור ראיות</w:t>
      </w:r>
    </w:p>
    <w:p w:rsidR="00E510E2" w:rsidRPr="0096007F" w:rsidRDefault="00E510E2" w:rsidP="00E510E2">
      <w:pPr>
        <w:autoSpaceDE w:val="0"/>
        <w:autoSpaceDN w:val="0"/>
        <w:bidi/>
        <w:adjustRightInd w:val="0"/>
        <w:rPr>
          <w:rFonts w:ascii="David" w:hAnsi="David" w:cs="David"/>
          <w:b/>
          <w:bCs/>
          <w:sz w:val="28"/>
          <w:szCs w:val="28"/>
          <w:rtl/>
        </w:rPr>
      </w:pPr>
    </w:p>
    <w:p w:rsidR="00E510E2" w:rsidRPr="0096007F" w:rsidRDefault="00E510E2" w:rsidP="00E510E2">
      <w:pPr>
        <w:keepLines/>
        <w:autoSpaceDE w:val="0"/>
        <w:autoSpaceDN w:val="0"/>
        <w:bidi/>
        <w:adjustRightInd w:val="0"/>
        <w:spacing w:line="312" w:lineRule="atLeast"/>
        <w:ind w:right="426"/>
        <w:rPr>
          <w:rFonts w:ascii="David" w:hAnsi="David" w:cs="David"/>
          <w:rtl/>
        </w:rPr>
      </w:pPr>
    </w:p>
    <w:p w:rsidR="00E510E2" w:rsidRPr="0096007F" w:rsidRDefault="00E510E2" w:rsidP="00BC16EF">
      <w:pPr>
        <w:autoSpaceDE w:val="0"/>
        <w:autoSpaceDN w:val="0"/>
        <w:bidi/>
        <w:adjustRightInd w:val="0"/>
        <w:rPr>
          <w:rFonts w:ascii="David" w:hAnsi="David" w:cs="David"/>
          <w:b/>
          <w:bCs/>
          <w:sz w:val="28"/>
          <w:szCs w:val="28"/>
          <w:rtl/>
        </w:rPr>
      </w:pPr>
      <w:r w:rsidRPr="0096007F">
        <w:rPr>
          <w:rFonts w:ascii="David" w:hAnsi="David" w:cs="David" w:hint="cs"/>
          <w:b/>
          <w:bCs/>
          <w:sz w:val="28"/>
          <w:szCs w:val="28"/>
          <w:rtl/>
        </w:rPr>
        <w:t>בבית המשפט העליון</w:t>
      </w:r>
      <w:r w:rsidRPr="0096007F">
        <w:rPr>
          <w:rFonts w:ascii="David" w:hAnsi="David" w:cs="David" w:hint="cs"/>
          <w:b/>
          <w:bCs/>
          <w:sz w:val="28"/>
          <w:szCs w:val="28"/>
          <w:rtl/>
        </w:rPr>
        <w:tab/>
      </w:r>
      <w:r w:rsidRPr="0096007F">
        <w:rPr>
          <w:rFonts w:ascii="David" w:hAnsi="David" w:cs="David" w:hint="cs"/>
          <w:b/>
          <w:bCs/>
          <w:sz w:val="28"/>
          <w:szCs w:val="28"/>
          <w:rtl/>
        </w:rPr>
        <w:tab/>
      </w:r>
      <w:r w:rsidRPr="0096007F">
        <w:rPr>
          <w:rFonts w:ascii="David" w:hAnsi="David" w:cs="David" w:hint="cs"/>
          <w:b/>
          <w:bCs/>
          <w:sz w:val="28"/>
          <w:szCs w:val="28"/>
          <w:rtl/>
        </w:rPr>
        <w:tab/>
      </w:r>
      <w:r w:rsidRPr="0096007F">
        <w:rPr>
          <w:rFonts w:ascii="David" w:hAnsi="David" w:cs="David" w:hint="cs"/>
          <w:b/>
          <w:bCs/>
          <w:sz w:val="28"/>
          <w:szCs w:val="28"/>
          <w:rtl/>
        </w:rPr>
        <w:tab/>
      </w:r>
      <w:r w:rsidRPr="0096007F">
        <w:rPr>
          <w:rFonts w:ascii="David" w:hAnsi="David" w:cs="David"/>
          <w:b/>
          <w:bCs/>
          <w:sz w:val="28"/>
          <w:szCs w:val="28"/>
          <w:rtl/>
        </w:rPr>
        <w:tab/>
      </w:r>
      <w:r w:rsidRPr="0096007F">
        <w:rPr>
          <w:rFonts w:ascii="David" w:hAnsi="David" w:cs="David"/>
          <w:b/>
          <w:bCs/>
          <w:sz w:val="28"/>
          <w:szCs w:val="28"/>
          <w:rtl/>
        </w:rPr>
        <w:tab/>
      </w:r>
      <w:r w:rsidRPr="0096007F">
        <w:rPr>
          <w:rFonts w:ascii="David" w:hAnsi="David" w:cs="David"/>
          <w:b/>
          <w:bCs/>
          <w:sz w:val="28"/>
          <w:szCs w:val="28"/>
          <w:rtl/>
        </w:rPr>
        <w:tab/>
      </w:r>
      <w:r w:rsidRPr="0096007F">
        <w:rPr>
          <w:rFonts w:ascii="David" w:hAnsi="David" w:cs="David"/>
          <w:b/>
          <w:bCs/>
          <w:sz w:val="28"/>
          <w:szCs w:val="28"/>
          <w:rtl/>
        </w:rPr>
        <w:tab/>
      </w:r>
      <w:r w:rsidR="00BC16EF">
        <w:rPr>
          <w:rFonts w:ascii="David" w:hAnsi="David" w:cs="David" w:hint="cs"/>
          <w:b/>
          <w:bCs/>
          <w:sz w:val="28"/>
          <w:szCs w:val="28"/>
          <w:rtl/>
        </w:rPr>
        <w:t>רע"א 6818/21</w:t>
      </w:r>
      <w:r w:rsidRPr="0096007F">
        <w:rPr>
          <w:rFonts w:ascii="David" w:hAnsi="David" w:cs="David" w:hint="cs"/>
          <w:b/>
          <w:bCs/>
          <w:sz w:val="28"/>
          <w:szCs w:val="28"/>
          <w:rtl/>
        </w:rPr>
        <w:t>-</w:t>
      </w:r>
      <w:bookmarkStart w:id="0" w:name="_GoBack"/>
      <w:bookmarkEnd w:id="0"/>
      <w:r w:rsidR="00204F4C" w:rsidRPr="0096007F">
        <w:rPr>
          <w:rFonts w:ascii="David" w:hAnsi="David" w:cs="David" w:hint="cs"/>
          <w:b/>
          <w:bCs/>
          <w:sz w:val="28"/>
          <w:szCs w:val="28"/>
          <w:rtl/>
        </w:rPr>
        <w:t>ב</w:t>
      </w:r>
    </w:p>
    <w:p w:rsidR="00E510E2" w:rsidRPr="0096007F" w:rsidRDefault="00E510E2" w:rsidP="00E510E2">
      <w:pPr>
        <w:autoSpaceDE w:val="0"/>
        <w:autoSpaceDN w:val="0"/>
        <w:bidi/>
        <w:adjustRightInd w:val="0"/>
        <w:jc w:val="center"/>
        <w:rPr>
          <w:rFonts w:ascii="David" w:hAnsi="David" w:cs="David"/>
          <w:b/>
          <w:bCs/>
          <w:sz w:val="32"/>
          <w:szCs w:val="32"/>
          <w:u w:val="single"/>
          <w:rtl/>
        </w:rPr>
      </w:pPr>
    </w:p>
    <w:p w:rsidR="00E510E2" w:rsidRPr="0096007F" w:rsidRDefault="00E510E2" w:rsidP="00E510E2">
      <w:pPr>
        <w:keepLines/>
        <w:autoSpaceDE w:val="0"/>
        <w:autoSpaceDN w:val="0"/>
        <w:bidi/>
        <w:adjustRightInd w:val="0"/>
        <w:spacing w:line="312" w:lineRule="atLeast"/>
        <w:ind w:right="426"/>
        <w:rPr>
          <w:rFonts w:ascii="Arial" w:hAnsi="Arial" w:cs="David"/>
          <w:b/>
          <w:bCs/>
          <w:rtl/>
        </w:rPr>
      </w:pPr>
      <w:r w:rsidRPr="0096007F">
        <w:rPr>
          <w:rFonts w:ascii="David" w:hAnsi="David" w:cs="David" w:hint="cs"/>
          <w:b/>
          <w:bCs/>
          <w:rtl/>
        </w:rPr>
        <w:t>המערער</w:t>
      </w:r>
      <w:r w:rsidRPr="0096007F">
        <w:rPr>
          <w:rFonts w:ascii="David" w:hAnsi="David" w:cs="David"/>
          <w:rtl/>
        </w:rPr>
        <w:tab/>
        <w:t>:</w:t>
      </w:r>
      <w:r w:rsidRPr="0096007F">
        <w:rPr>
          <w:rFonts w:ascii="David" w:hAnsi="David" w:cs="David"/>
          <w:b/>
          <w:bCs/>
          <w:rtl/>
        </w:rPr>
        <w:tab/>
      </w:r>
      <w:r w:rsidRPr="0096007F">
        <w:rPr>
          <w:rFonts w:ascii="David" w:hAnsi="David" w:cs="David"/>
          <w:b/>
          <w:bCs/>
          <w:rtl/>
        </w:rPr>
        <w:tab/>
      </w:r>
      <w:r w:rsidRPr="0096007F">
        <w:rPr>
          <w:rFonts w:ascii="David" w:hAnsi="David" w:cs="David"/>
          <w:b/>
          <w:bCs/>
          <w:rtl/>
        </w:rPr>
        <w:tab/>
        <w:t>אילן קירשנבאום</w:t>
      </w:r>
    </w:p>
    <w:p w:rsidR="00E510E2" w:rsidRPr="0096007F" w:rsidRDefault="00E510E2" w:rsidP="00E510E2">
      <w:pPr>
        <w:keepLines/>
        <w:autoSpaceDE w:val="0"/>
        <w:autoSpaceDN w:val="0"/>
        <w:bidi/>
        <w:adjustRightInd w:val="0"/>
        <w:spacing w:line="312" w:lineRule="atLeast"/>
        <w:ind w:right="426"/>
        <w:rPr>
          <w:rFonts w:ascii="Arial" w:hAnsi="Arial" w:cs="David"/>
          <w:b/>
          <w:bCs/>
          <w:rtl/>
        </w:rPr>
      </w:pPr>
    </w:p>
    <w:p w:rsidR="00E510E2" w:rsidRPr="0096007F" w:rsidRDefault="00E510E2" w:rsidP="00E510E2">
      <w:pPr>
        <w:tabs>
          <w:tab w:val="left" w:pos="4200"/>
        </w:tabs>
        <w:autoSpaceDE w:val="0"/>
        <w:autoSpaceDN w:val="0"/>
        <w:bidi/>
        <w:adjustRightInd w:val="0"/>
        <w:spacing w:line="312" w:lineRule="atLeast"/>
        <w:jc w:val="center"/>
        <w:rPr>
          <w:rFonts w:ascii="David" w:hAnsi="David" w:cs="David"/>
          <w:b/>
          <w:bCs/>
          <w:rtl/>
        </w:rPr>
      </w:pPr>
      <w:r w:rsidRPr="0096007F">
        <w:rPr>
          <w:rFonts w:ascii="David" w:hAnsi="David" w:cs="David"/>
          <w:b/>
          <w:bCs/>
          <w:rtl/>
        </w:rPr>
        <w:t>- נ ג ד -</w:t>
      </w:r>
    </w:p>
    <w:p w:rsidR="00E510E2" w:rsidRPr="0096007F" w:rsidRDefault="00E510E2" w:rsidP="00E510E2">
      <w:pPr>
        <w:tabs>
          <w:tab w:val="left" w:pos="2411"/>
        </w:tabs>
        <w:autoSpaceDE w:val="0"/>
        <w:autoSpaceDN w:val="0"/>
        <w:bidi/>
        <w:adjustRightInd w:val="0"/>
        <w:spacing w:line="312" w:lineRule="atLeast"/>
        <w:rPr>
          <w:rFonts w:ascii="David" w:hAnsi="David" w:cs="David"/>
          <w:b/>
          <w:bCs/>
          <w:u w:val="single"/>
          <w:rtl/>
        </w:rPr>
      </w:pPr>
    </w:p>
    <w:p w:rsidR="00E510E2" w:rsidRPr="0096007F" w:rsidRDefault="00E510E2" w:rsidP="00E510E2">
      <w:pPr>
        <w:tabs>
          <w:tab w:val="left" w:pos="2411"/>
        </w:tabs>
        <w:bidi/>
        <w:spacing w:line="312" w:lineRule="auto"/>
        <w:rPr>
          <w:rFonts w:ascii="Arial" w:hAnsi="Arial" w:cs="David"/>
          <w:b/>
          <w:bCs/>
        </w:rPr>
      </w:pPr>
      <w:r w:rsidRPr="0096007F">
        <w:rPr>
          <w:rFonts w:ascii="Arial" w:hAnsi="Arial" w:cs="David" w:hint="cs"/>
          <w:b/>
          <w:bCs/>
          <w:rtl/>
        </w:rPr>
        <w:t>המשיבים</w:t>
      </w:r>
      <w:r w:rsidRPr="0096007F">
        <w:rPr>
          <w:rFonts w:ascii="Arial" w:hAnsi="Arial" w:cs="David" w:hint="cs"/>
          <w:rtl/>
        </w:rPr>
        <w:t xml:space="preserve">:      </w:t>
      </w:r>
      <w:r w:rsidRPr="0096007F">
        <w:rPr>
          <w:rFonts w:ascii="Arial" w:hAnsi="Arial" w:cs="David"/>
          <w:rtl/>
        </w:rPr>
        <w:tab/>
      </w:r>
      <w:r w:rsidRPr="0096007F">
        <w:rPr>
          <w:rFonts w:ascii="Arial" w:hAnsi="Arial" w:cs="David"/>
          <w:rtl/>
        </w:rPr>
        <w:tab/>
      </w:r>
      <w:r w:rsidRPr="0096007F">
        <w:rPr>
          <w:rFonts w:ascii="Arial" w:hAnsi="Arial" w:cs="David" w:hint="cs"/>
          <w:b/>
          <w:bCs/>
          <w:rtl/>
        </w:rPr>
        <w:t xml:space="preserve">1.   </w:t>
      </w:r>
      <w:r w:rsidRPr="0096007F">
        <w:rPr>
          <w:rFonts w:ascii="Arial" w:hAnsi="Arial" w:cs="David"/>
          <w:b/>
          <w:bCs/>
          <w:rtl/>
        </w:rPr>
        <w:t>נציגות הבית המשותף ברחוב בזל 43, תל-אביב</w:t>
      </w:r>
    </w:p>
    <w:p w:rsidR="00E510E2" w:rsidRPr="0096007F" w:rsidRDefault="00E510E2" w:rsidP="00E510E2">
      <w:pPr>
        <w:widowControl w:val="0"/>
        <w:bidi/>
        <w:spacing w:line="312" w:lineRule="auto"/>
        <w:ind w:left="2517"/>
        <w:jc w:val="both"/>
        <w:rPr>
          <w:rFonts w:ascii="Arial" w:hAnsi="Arial" w:cs="David"/>
          <w:b/>
          <w:bCs/>
        </w:rPr>
      </w:pPr>
      <w:r w:rsidRPr="0096007F">
        <w:rPr>
          <w:rFonts w:ascii="Arial" w:hAnsi="Arial" w:cs="David" w:hint="cs"/>
          <w:b/>
          <w:bCs/>
          <w:rtl/>
        </w:rPr>
        <w:t xml:space="preserve">       2.    </w:t>
      </w:r>
      <w:r w:rsidRPr="0096007F">
        <w:rPr>
          <w:rFonts w:ascii="Arial" w:hAnsi="Arial" w:cs="David"/>
          <w:b/>
          <w:bCs/>
          <w:rtl/>
        </w:rPr>
        <w:t xml:space="preserve">אבי </w:t>
      </w:r>
      <w:r w:rsidRPr="0096007F">
        <w:rPr>
          <w:rFonts w:ascii="Arial" w:hAnsi="Arial" w:cs="David" w:hint="cs"/>
          <w:b/>
          <w:bCs/>
          <w:rtl/>
        </w:rPr>
        <w:t xml:space="preserve">(אביגדור) </w:t>
      </w:r>
      <w:r w:rsidRPr="0096007F">
        <w:rPr>
          <w:rFonts w:ascii="Arial" w:hAnsi="Arial" w:cs="David"/>
          <w:b/>
          <w:bCs/>
          <w:rtl/>
        </w:rPr>
        <w:t>טל</w:t>
      </w:r>
    </w:p>
    <w:p w:rsidR="00E510E2" w:rsidRPr="0096007F" w:rsidRDefault="00E510E2" w:rsidP="00E510E2">
      <w:pPr>
        <w:widowControl w:val="0"/>
        <w:bidi/>
        <w:spacing w:line="312" w:lineRule="auto"/>
        <w:ind w:left="2517"/>
        <w:jc w:val="both"/>
        <w:rPr>
          <w:rFonts w:ascii="Arial" w:hAnsi="Arial" w:cs="David"/>
          <w:b/>
          <w:bCs/>
        </w:rPr>
      </w:pPr>
      <w:r w:rsidRPr="0096007F">
        <w:rPr>
          <w:rFonts w:ascii="Arial" w:hAnsi="Arial" w:cs="David" w:hint="cs"/>
          <w:b/>
          <w:bCs/>
          <w:rtl/>
        </w:rPr>
        <w:t xml:space="preserve">       3.    </w:t>
      </w:r>
      <w:r w:rsidRPr="0096007F">
        <w:rPr>
          <w:rFonts w:ascii="Arial" w:hAnsi="Arial" w:cs="David"/>
          <w:b/>
          <w:bCs/>
          <w:rtl/>
        </w:rPr>
        <w:t>הניה גודס</w:t>
      </w:r>
    </w:p>
    <w:p w:rsidR="00E510E2" w:rsidRPr="0096007F" w:rsidRDefault="00E510E2" w:rsidP="00E510E2">
      <w:pPr>
        <w:bidi/>
        <w:spacing w:line="312" w:lineRule="auto"/>
        <w:ind w:left="2520"/>
        <w:rPr>
          <w:rFonts w:ascii="Arial" w:hAnsi="Arial" w:cs="David"/>
          <w:b/>
          <w:bCs/>
        </w:rPr>
      </w:pPr>
      <w:r w:rsidRPr="0096007F">
        <w:rPr>
          <w:rFonts w:ascii="Arial" w:hAnsi="Arial" w:cs="David" w:hint="cs"/>
          <w:b/>
          <w:bCs/>
          <w:rtl/>
        </w:rPr>
        <w:t xml:space="preserve">       4.    </w:t>
      </w:r>
      <w:r w:rsidRPr="0096007F">
        <w:rPr>
          <w:rFonts w:ascii="Arial" w:hAnsi="Arial" w:cs="David"/>
          <w:b/>
          <w:bCs/>
          <w:rtl/>
        </w:rPr>
        <w:t>יורם רוזנבאום</w:t>
      </w:r>
      <w:r w:rsidRPr="0096007F">
        <w:rPr>
          <w:rFonts w:ascii="Arial" w:hAnsi="Arial" w:cs="David" w:hint="cs"/>
          <w:b/>
          <w:bCs/>
          <w:rtl/>
        </w:rPr>
        <w:t xml:space="preserve">  המנוח </w:t>
      </w:r>
      <w:r w:rsidRPr="0096007F">
        <w:rPr>
          <w:rFonts w:ascii="Arial" w:hAnsi="Arial" w:cs="David" w:hint="cs"/>
          <w:rtl/>
        </w:rPr>
        <w:t>(לא יוצג בהליך קמא)</w:t>
      </w:r>
    </w:p>
    <w:p w:rsidR="00E510E2" w:rsidRPr="0096007F" w:rsidRDefault="00E510E2" w:rsidP="00E510E2">
      <w:pPr>
        <w:widowControl w:val="0"/>
        <w:bidi/>
        <w:spacing w:line="312" w:lineRule="auto"/>
        <w:ind w:left="2517"/>
        <w:jc w:val="both"/>
        <w:rPr>
          <w:rFonts w:ascii="Arial" w:hAnsi="Arial" w:cs="David"/>
          <w:b/>
          <w:bCs/>
        </w:rPr>
      </w:pPr>
      <w:r w:rsidRPr="0096007F">
        <w:rPr>
          <w:rFonts w:ascii="Arial" w:hAnsi="Arial" w:cs="David" w:hint="cs"/>
          <w:b/>
          <w:bCs/>
          <w:rtl/>
        </w:rPr>
        <w:t xml:space="preserve">       5.    </w:t>
      </w:r>
      <w:r w:rsidRPr="0096007F">
        <w:rPr>
          <w:rFonts w:ascii="Arial" w:hAnsi="Arial" w:cs="David"/>
          <w:b/>
          <w:bCs/>
          <w:rtl/>
        </w:rPr>
        <w:t>רבקה נאמן</w:t>
      </w:r>
      <w:r w:rsidRPr="0096007F">
        <w:rPr>
          <w:rFonts w:ascii="Arial" w:hAnsi="Arial" w:cs="David" w:hint="cs"/>
          <w:b/>
          <w:bCs/>
          <w:rtl/>
        </w:rPr>
        <w:t xml:space="preserve"> המנוחה </w:t>
      </w:r>
    </w:p>
    <w:p w:rsidR="00E510E2" w:rsidRPr="0096007F" w:rsidRDefault="00E510E2" w:rsidP="00E510E2">
      <w:pPr>
        <w:widowControl w:val="0"/>
        <w:bidi/>
        <w:spacing w:line="312" w:lineRule="auto"/>
        <w:ind w:left="2517"/>
        <w:jc w:val="both"/>
        <w:rPr>
          <w:rFonts w:ascii="Arial" w:hAnsi="Arial" w:cs="David"/>
        </w:rPr>
      </w:pPr>
      <w:r w:rsidRPr="0096007F">
        <w:rPr>
          <w:rFonts w:ascii="Arial" w:hAnsi="Arial" w:cs="David" w:hint="cs"/>
          <w:b/>
          <w:bCs/>
          <w:rtl/>
        </w:rPr>
        <w:t xml:space="preserve">       6.    </w:t>
      </w:r>
      <w:r w:rsidRPr="0096007F">
        <w:rPr>
          <w:rFonts w:ascii="Arial" w:hAnsi="Arial" w:cs="David"/>
          <w:b/>
          <w:bCs/>
          <w:rtl/>
        </w:rPr>
        <w:t>רבקה בן מש</w:t>
      </w:r>
      <w:r w:rsidRPr="0096007F">
        <w:rPr>
          <w:rFonts w:ascii="Arial" w:hAnsi="Arial" w:cs="David" w:hint="cs"/>
          <w:b/>
          <w:bCs/>
          <w:rtl/>
        </w:rPr>
        <w:t>ה</w:t>
      </w:r>
    </w:p>
    <w:p w:rsidR="00E510E2" w:rsidRPr="0096007F" w:rsidRDefault="00E510E2" w:rsidP="00E510E2">
      <w:pPr>
        <w:widowControl w:val="0"/>
        <w:bidi/>
        <w:spacing w:line="312" w:lineRule="auto"/>
        <w:ind w:left="2517"/>
        <w:jc w:val="both"/>
        <w:rPr>
          <w:rFonts w:ascii="Arial" w:hAnsi="Arial" w:cs="David"/>
        </w:rPr>
      </w:pPr>
      <w:r w:rsidRPr="0096007F">
        <w:rPr>
          <w:rFonts w:ascii="Arial" w:hAnsi="Arial" w:cs="David" w:hint="cs"/>
          <w:b/>
          <w:bCs/>
          <w:rtl/>
        </w:rPr>
        <w:t xml:space="preserve">       7.    </w:t>
      </w:r>
      <w:r w:rsidRPr="0096007F">
        <w:rPr>
          <w:rFonts w:ascii="Arial" w:hAnsi="Arial" w:cs="David"/>
          <w:b/>
          <w:bCs/>
          <w:rtl/>
        </w:rPr>
        <w:t>יוסף פינסקר</w:t>
      </w:r>
      <w:r w:rsidRPr="0096007F">
        <w:rPr>
          <w:rFonts w:ascii="Arial" w:hAnsi="Arial" w:cs="David" w:hint="cs"/>
          <w:b/>
          <w:bCs/>
          <w:rtl/>
        </w:rPr>
        <w:t xml:space="preserve"> המנוח</w:t>
      </w:r>
    </w:p>
    <w:p w:rsidR="00E510E2" w:rsidRPr="0096007F" w:rsidRDefault="00E510E2" w:rsidP="00E510E2">
      <w:pPr>
        <w:widowControl w:val="0"/>
        <w:bidi/>
        <w:spacing w:line="312" w:lineRule="auto"/>
        <w:ind w:left="2517"/>
        <w:jc w:val="both"/>
        <w:rPr>
          <w:rFonts w:ascii="Arial" w:hAnsi="Arial" w:cs="David"/>
          <w:b/>
          <w:bCs/>
          <w:rtl/>
        </w:rPr>
      </w:pPr>
      <w:r w:rsidRPr="0096007F">
        <w:rPr>
          <w:rFonts w:ascii="Arial" w:hAnsi="Arial" w:cs="David" w:hint="cs"/>
          <w:b/>
          <w:bCs/>
          <w:rtl/>
        </w:rPr>
        <w:t xml:space="preserve">       8.    </w:t>
      </w:r>
      <w:r w:rsidRPr="0096007F">
        <w:rPr>
          <w:rFonts w:ascii="Arial" w:hAnsi="Arial" w:cs="David"/>
          <w:b/>
          <w:bCs/>
          <w:rtl/>
        </w:rPr>
        <w:t xml:space="preserve">אורית מוזס </w:t>
      </w:r>
    </w:p>
    <w:p w:rsidR="00E510E2" w:rsidRPr="0096007F" w:rsidRDefault="00E510E2" w:rsidP="00E510E2">
      <w:pPr>
        <w:autoSpaceDE w:val="0"/>
        <w:autoSpaceDN w:val="0"/>
        <w:bidi/>
        <w:adjustRightInd w:val="0"/>
        <w:ind w:left="2517"/>
        <w:rPr>
          <w:rFonts w:ascii="David" w:hAnsi="David" w:cs="David"/>
          <w:rtl/>
        </w:rPr>
      </w:pPr>
      <w:r w:rsidRPr="0096007F">
        <w:rPr>
          <w:rFonts w:ascii="David" w:hAnsi="David" w:cs="David" w:hint="cs"/>
          <w:rtl/>
        </w:rPr>
        <w:t xml:space="preserve">      </w:t>
      </w:r>
      <w:r w:rsidRPr="0096007F">
        <w:rPr>
          <w:rFonts w:ascii="David" w:hAnsi="David" w:cs="David"/>
          <w:rtl/>
        </w:rPr>
        <w:t xml:space="preserve">(ללא משיב </w:t>
      </w:r>
      <w:r w:rsidRPr="0096007F">
        <w:rPr>
          <w:rFonts w:ascii="David" w:hAnsi="David" w:cs="David"/>
        </w:rPr>
        <w:t>4</w:t>
      </w:r>
      <w:r w:rsidRPr="0096007F">
        <w:rPr>
          <w:rFonts w:ascii="David" w:hAnsi="David" w:cs="David"/>
          <w:rtl/>
        </w:rPr>
        <w:t xml:space="preserve">) ע"י ב"כ עו"ד אריה לוי, מנחם בגין </w:t>
      </w:r>
      <w:r w:rsidRPr="0096007F">
        <w:rPr>
          <w:rFonts w:ascii="David" w:hAnsi="David" w:cs="David"/>
        </w:rPr>
        <w:t>11</w:t>
      </w:r>
      <w:r w:rsidRPr="0096007F">
        <w:rPr>
          <w:rFonts w:ascii="David" w:hAnsi="David" w:cs="David"/>
          <w:rtl/>
        </w:rPr>
        <w:t xml:space="preserve"> ר"ג</w:t>
      </w:r>
    </w:p>
    <w:p w:rsidR="00E510E2" w:rsidRPr="0096007F" w:rsidRDefault="00E510E2" w:rsidP="00E510E2">
      <w:pPr>
        <w:autoSpaceDE w:val="0"/>
        <w:autoSpaceDN w:val="0"/>
        <w:bidi/>
        <w:adjustRightInd w:val="0"/>
        <w:ind w:left="1797" w:hanging="357"/>
        <w:rPr>
          <w:rFonts w:ascii="David" w:hAnsi="David" w:cs="David"/>
          <w:rtl/>
        </w:rPr>
      </w:pPr>
      <w:r w:rsidRPr="0096007F">
        <w:rPr>
          <w:rFonts w:ascii="David" w:hAnsi="David" w:cs="David" w:hint="cs"/>
          <w:rtl/>
        </w:rPr>
        <w:t xml:space="preserve">    </w:t>
      </w:r>
      <w:r w:rsidRPr="0096007F">
        <w:rPr>
          <w:rFonts w:ascii="David" w:hAnsi="David" w:cs="David"/>
          <w:rtl/>
        </w:rPr>
        <w:t xml:space="preserve">                      טל'‏  </w:t>
      </w:r>
      <w:r w:rsidRPr="0096007F">
        <w:rPr>
          <w:rFonts w:ascii="David" w:hAnsi="David" w:cs="David"/>
        </w:rPr>
        <w:t>03-6245544</w:t>
      </w:r>
      <w:r w:rsidRPr="0096007F">
        <w:rPr>
          <w:rFonts w:ascii="David" w:hAnsi="David" w:cs="David"/>
          <w:rtl/>
        </w:rPr>
        <w:t xml:space="preserve">  ‏פקס </w:t>
      </w:r>
      <w:r w:rsidRPr="0096007F">
        <w:rPr>
          <w:rFonts w:ascii="David" w:hAnsi="David" w:cs="David"/>
        </w:rPr>
        <w:t>03-6245545</w:t>
      </w:r>
      <w:r w:rsidRPr="0096007F">
        <w:rPr>
          <w:rFonts w:ascii="David" w:hAnsi="David" w:cs="David"/>
          <w:rtl/>
        </w:rPr>
        <w:t>‏</w:t>
      </w:r>
    </w:p>
    <w:p w:rsidR="00E510E2" w:rsidRPr="0096007F" w:rsidRDefault="00E510E2" w:rsidP="00E510E2">
      <w:pPr>
        <w:autoSpaceDE w:val="0"/>
        <w:autoSpaceDN w:val="0"/>
        <w:bidi/>
        <w:adjustRightInd w:val="0"/>
        <w:spacing w:line="312" w:lineRule="atLeast"/>
        <w:ind w:left="2517"/>
        <w:jc w:val="both"/>
        <w:rPr>
          <w:rFonts w:ascii="David" w:hAnsi="David" w:cs="David"/>
          <w:b/>
          <w:bCs/>
          <w:rtl/>
        </w:rPr>
      </w:pPr>
      <w:r w:rsidRPr="0096007F">
        <w:rPr>
          <w:rFonts w:ascii="David" w:hAnsi="David" w:cs="David" w:hint="cs"/>
          <w:b/>
          <w:bCs/>
          <w:rtl/>
        </w:rPr>
        <w:t xml:space="preserve">      </w:t>
      </w:r>
      <w:r w:rsidRPr="0096007F">
        <w:rPr>
          <w:rFonts w:ascii="David" w:hAnsi="David" w:cs="David"/>
          <w:b/>
          <w:bCs/>
        </w:rPr>
        <w:t>9</w:t>
      </w:r>
      <w:r w:rsidRPr="0096007F">
        <w:rPr>
          <w:rFonts w:ascii="David" w:hAnsi="David" w:cs="David"/>
          <w:b/>
          <w:bCs/>
          <w:rtl/>
        </w:rPr>
        <w:t>.    אלכסנדר פרידמן</w:t>
      </w:r>
    </w:p>
    <w:p w:rsidR="00E510E2" w:rsidRPr="0096007F" w:rsidRDefault="00E510E2" w:rsidP="00E510E2">
      <w:pPr>
        <w:autoSpaceDE w:val="0"/>
        <w:autoSpaceDN w:val="0"/>
        <w:bidi/>
        <w:adjustRightInd w:val="0"/>
        <w:ind w:left="2875" w:firstLine="5"/>
        <w:rPr>
          <w:rFonts w:ascii="David" w:hAnsi="David" w:cs="David"/>
          <w:rtl/>
        </w:rPr>
      </w:pPr>
      <w:r w:rsidRPr="0096007F">
        <w:rPr>
          <w:rFonts w:ascii="David" w:hAnsi="David" w:cs="David"/>
          <w:rtl/>
        </w:rPr>
        <w:t>ע"י ב"כ עו"ד אלעזר טננבוים</w:t>
      </w:r>
    </w:p>
    <w:p w:rsidR="00E510E2" w:rsidRPr="0096007F" w:rsidRDefault="00E510E2" w:rsidP="00E510E2">
      <w:pPr>
        <w:bidi/>
        <w:ind w:left="2155" w:firstLine="720"/>
        <w:rPr>
          <w:rFonts w:ascii="David" w:hAnsi="David" w:cs="David"/>
          <w:rtl/>
        </w:rPr>
      </w:pPr>
      <w:r w:rsidRPr="0096007F">
        <w:rPr>
          <w:rFonts w:ascii="David" w:hAnsi="David" w:cs="David"/>
          <w:rtl/>
        </w:rPr>
        <w:t xml:space="preserve">רח' מיקוניס </w:t>
      </w:r>
      <w:r w:rsidRPr="0096007F">
        <w:rPr>
          <w:rFonts w:ascii="David" w:hAnsi="David" w:cs="David"/>
        </w:rPr>
        <w:t>3</w:t>
      </w:r>
      <w:r w:rsidRPr="0096007F">
        <w:rPr>
          <w:rFonts w:ascii="David" w:hAnsi="David" w:cs="David"/>
          <w:rtl/>
        </w:rPr>
        <w:t xml:space="preserve"> ת"א, טל' </w:t>
      </w:r>
      <w:r w:rsidRPr="0096007F">
        <w:rPr>
          <w:rFonts w:ascii="David" w:hAnsi="David" w:cs="David"/>
        </w:rPr>
        <w:t>03-6887203</w:t>
      </w:r>
      <w:r w:rsidRPr="0096007F">
        <w:rPr>
          <w:rFonts w:ascii="David" w:hAnsi="David" w:cs="David"/>
          <w:rtl/>
        </w:rPr>
        <w:t xml:space="preserve">  פקס </w:t>
      </w:r>
      <w:r w:rsidRPr="0096007F">
        <w:rPr>
          <w:rFonts w:ascii="David" w:hAnsi="David" w:cs="David"/>
        </w:rPr>
        <w:t>03-6887504</w:t>
      </w:r>
    </w:p>
    <w:p w:rsidR="00E510E2" w:rsidRPr="0096007F" w:rsidRDefault="00E510E2" w:rsidP="00E510E2">
      <w:pPr>
        <w:autoSpaceDE w:val="0"/>
        <w:autoSpaceDN w:val="0"/>
        <w:bidi/>
        <w:adjustRightInd w:val="0"/>
        <w:rPr>
          <w:rFonts w:ascii="David" w:hAnsi="David" w:cs="David"/>
          <w:b/>
          <w:bCs/>
          <w:sz w:val="28"/>
          <w:szCs w:val="28"/>
          <w:rtl/>
        </w:rPr>
      </w:pPr>
    </w:p>
    <w:p w:rsidR="00E510E2" w:rsidRPr="0096007F" w:rsidRDefault="00E510E2" w:rsidP="00E510E2">
      <w:pPr>
        <w:bidi/>
        <w:rPr>
          <w:rtl/>
        </w:rPr>
      </w:pPr>
    </w:p>
    <w:p w:rsidR="00E510E2" w:rsidRPr="0096007F" w:rsidRDefault="00E510E2" w:rsidP="00E510E2">
      <w:pPr>
        <w:bidi/>
        <w:rPr>
          <w:rFonts w:ascii="David" w:hAnsi="David" w:cs="David"/>
          <w:rtl/>
        </w:rPr>
      </w:pPr>
    </w:p>
    <w:p w:rsidR="00E510E2" w:rsidRPr="0096007F" w:rsidRDefault="00E510E2" w:rsidP="00A86415">
      <w:pPr>
        <w:bidi/>
        <w:spacing w:line="360" w:lineRule="auto"/>
        <w:rPr>
          <w:rFonts w:ascii="David" w:hAnsi="David" w:cs="David"/>
          <w:rtl/>
        </w:rPr>
      </w:pPr>
      <w:r w:rsidRPr="0096007F">
        <w:rPr>
          <w:rFonts w:ascii="David" w:hAnsi="David" w:cs="David"/>
          <w:rtl/>
        </w:rPr>
        <w:t>מבוקש מביהמ"ש הנכבד ל</w:t>
      </w:r>
      <w:r w:rsidR="00504B92" w:rsidRPr="0096007F">
        <w:rPr>
          <w:rFonts w:ascii="David" w:hAnsi="David" w:cs="David" w:hint="cs"/>
          <w:rtl/>
        </w:rPr>
        <w:t xml:space="preserve">קבל </w:t>
      </w:r>
      <w:r w:rsidR="00A86415" w:rsidRPr="0096007F">
        <w:rPr>
          <w:rFonts w:ascii="David" w:hAnsi="David" w:cs="David" w:hint="cs"/>
          <w:rtl/>
        </w:rPr>
        <w:t>כ</w:t>
      </w:r>
      <w:r w:rsidR="00504B92" w:rsidRPr="0096007F">
        <w:rPr>
          <w:rFonts w:ascii="David" w:hAnsi="David" w:cs="David" w:hint="cs"/>
          <w:rtl/>
        </w:rPr>
        <w:t xml:space="preserve">ראיות נוספות בערעור </w:t>
      </w:r>
      <w:r w:rsidR="00A86415" w:rsidRPr="0096007F">
        <w:rPr>
          <w:rFonts w:ascii="David" w:hAnsi="David" w:cs="David" w:hint="cs"/>
          <w:rtl/>
        </w:rPr>
        <w:t xml:space="preserve">את תיק המוצגים שהוגש בהליך קמא ככל שיקבע שהוא איננו ראיות שהוגשו לביהמ"ש, לרבות תקליטור </w:t>
      </w:r>
      <w:r w:rsidR="00504B92" w:rsidRPr="0096007F">
        <w:rPr>
          <w:rFonts w:ascii="David" w:hAnsi="David" w:cs="David" w:hint="cs"/>
          <w:rtl/>
        </w:rPr>
        <w:t xml:space="preserve">הראיות שהוגש </w:t>
      </w:r>
      <w:r w:rsidR="00A86415" w:rsidRPr="0096007F">
        <w:rPr>
          <w:rFonts w:ascii="David" w:hAnsi="David" w:cs="David" w:hint="cs"/>
          <w:rtl/>
        </w:rPr>
        <w:t xml:space="preserve">לתיק בהליך קמא ואת </w:t>
      </w:r>
      <w:r w:rsidR="00504B92" w:rsidRPr="0096007F">
        <w:rPr>
          <w:rFonts w:ascii="David" w:hAnsi="David" w:cs="David" w:hint="cs"/>
          <w:rtl/>
        </w:rPr>
        <w:t>תצהיר העדות הראשית מטעמי</w:t>
      </w:r>
      <w:r w:rsidR="00A86415" w:rsidRPr="0096007F">
        <w:rPr>
          <w:rFonts w:ascii="David" w:hAnsi="David" w:cs="David" w:hint="cs"/>
          <w:rtl/>
        </w:rPr>
        <w:t xml:space="preserve"> ואת נתוני המדידה</w:t>
      </w:r>
      <w:r w:rsidRPr="0096007F">
        <w:rPr>
          <w:rFonts w:ascii="David" w:hAnsi="David" w:cs="David" w:hint="cs"/>
          <w:rtl/>
        </w:rPr>
        <w:t>.</w:t>
      </w:r>
    </w:p>
    <w:p w:rsidR="00E510E2" w:rsidRPr="0096007F" w:rsidRDefault="00E510E2" w:rsidP="00E510E2">
      <w:pPr>
        <w:bidi/>
        <w:spacing w:line="360" w:lineRule="auto"/>
        <w:rPr>
          <w:rFonts w:ascii="David" w:hAnsi="David" w:cs="David"/>
          <w:rtl/>
        </w:rPr>
      </w:pPr>
    </w:p>
    <w:p w:rsidR="00A86415" w:rsidRPr="0096007F" w:rsidRDefault="00A86415" w:rsidP="00863017">
      <w:pPr>
        <w:bidi/>
        <w:spacing w:line="360" w:lineRule="auto"/>
        <w:rPr>
          <w:rFonts w:ascii="David" w:hAnsi="David" w:cs="David"/>
          <w:b/>
          <w:bCs/>
          <w:rtl/>
        </w:rPr>
      </w:pPr>
      <w:r w:rsidRPr="0096007F">
        <w:rPr>
          <w:rFonts w:ascii="David" w:hAnsi="David" w:cs="David" w:hint="cs"/>
          <w:rtl/>
        </w:rPr>
        <w:t xml:space="preserve">תיק המוצגים </w:t>
      </w:r>
      <w:r w:rsidR="00914222" w:rsidRPr="0096007F">
        <w:rPr>
          <w:rFonts w:ascii="David" w:hAnsi="David" w:cs="David" w:hint="cs"/>
          <w:rtl/>
        </w:rPr>
        <w:t>בהליך קמא מורכב מ-</w:t>
      </w:r>
      <w:r w:rsidRPr="0096007F">
        <w:rPr>
          <w:rFonts w:ascii="David" w:hAnsi="David" w:cs="David" w:hint="cs"/>
          <w:rtl/>
        </w:rPr>
        <w:t>3 כרכי</w:t>
      </w:r>
      <w:r w:rsidR="00914222" w:rsidRPr="0096007F">
        <w:rPr>
          <w:rFonts w:ascii="David" w:hAnsi="David" w:cs="David" w:hint="cs"/>
          <w:rtl/>
        </w:rPr>
        <w:t xml:space="preserve"> ראיות </w:t>
      </w:r>
      <w:r w:rsidRPr="0096007F">
        <w:rPr>
          <w:rFonts w:ascii="David" w:hAnsi="David" w:cs="David" w:hint="cs"/>
          <w:rtl/>
        </w:rPr>
        <w:t xml:space="preserve">שהוגשו </w:t>
      </w:r>
      <w:r w:rsidR="00914222" w:rsidRPr="0096007F">
        <w:rPr>
          <w:rFonts w:ascii="David" w:hAnsi="David" w:cs="David" w:hint="cs"/>
          <w:rtl/>
        </w:rPr>
        <w:t xml:space="preserve">גם </w:t>
      </w:r>
      <w:r w:rsidRPr="0096007F">
        <w:rPr>
          <w:rFonts w:ascii="David" w:hAnsi="David" w:cs="David" w:hint="cs"/>
          <w:rtl/>
        </w:rPr>
        <w:t>ב</w:t>
      </w:r>
      <w:r w:rsidR="00914222" w:rsidRPr="0096007F">
        <w:rPr>
          <w:rFonts w:ascii="David" w:hAnsi="David" w:cs="David" w:hint="cs"/>
          <w:rtl/>
        </w:rPr>
        <w:t xml:space="preserve">מסגרת תיק המוצגים בהליך הערעור והם </w:t>
      </w:r>
      <w:r w:rsidR="00914222" w:rsidRPr="0096007F">
        <w:rPr>
          <w:rFonts w:ascii="David" w:hAnsi="David" w:cs="David" w:hint="cs"/>
          <w:b/>
          <w:bCs/>
          <w:color w:val="000000"/>
          <w:rtl/>
        </w:rPr>
        <w:t>נ/30, נ/31 ו-נ/32 לכתב הבר"ע</w:t>
      </w:r>
      <w:r w:rsidR="00914222" w:rsidRPr="0096007F">
        <w:rPr>
          <w:rFonts w:ascii="David" w:hAnsi="David" w:cs="David" w:hint="cs"/>
          <w:color w:val="000000"/>
          <w:rtl/>
        </w:rPr>
        <w:t xml:space="preserve">, שהם למעשה </w:t>
      </w:r>
      <w:r w:rsidR="00863017" w:rsidRPr="0096007F">
        <w:rPr>
          <w:rFonts w:ascii="David" w:hAnsi="David" w:cs="David" w:hint="cs"/>
          <w:b/>
          <w:bCs/>
          <w:color w:val="000000"/>
          <w:rtl/>
        </w:rPr>
        <w:t xml:space="preserve">מוצגים מ/42, מ/43 ו-מ/44 </w:t>
      </w:r>
      <w:r w:rsidR="00914222" w:rsidRPr="0096007F">
        <w:rPr>
          <w:rFonts w:ascii="David" w:hAnsi="David" w:cs="David" w:hint="cs"/>
          <w:b/>
          <w:bCs/>
          <w:color w:val="000000"/>
          <w:rtl/>
        </w:rPr>
        <w:t>לתיק המוצגים בהליך הערעור.</w:t>
      </w:r>
    </w:p>
    <w:p w:rsidR="00863017" w:rsidRPr="0096007F" w:rsidRDefault="00863017" w:rsidP="00863017">
      <w:pPr>
        <w:bidi/>
        <w:spacing w:line="360" w:lineRule="auto"/>
        <w:rPr>
          <w:rFonts w:ascii="David" w:hAnsi="David" w:cs="David"/>
          <w:rtl/>
        </w:rPr>
      </w:pPr>
    </w:p>
    <w:p w:rsidR="00093D76" w:rsidRPr="0096007F" w:rsidRDefault="00093D76" w:rsidP="00093D76">
      <w:pPr>
        <w:bidi/>
        <w:spacing w:line="360" w:lineRule="auto"/>
        <w:rPr>
          <w:rFonts w:ascii="David" w:hAnsi="David" w:cs="David"/>
          <w:rtl/>
        </w:rPr>
      </w:pPr>
      <w:r w:rsidRPr="0096007F">
        <w:rPr>
          <w:rFonts w:ascii="David" w:hAnsi="David" w:cs="David" w:hint="cs"/>
          <w:rtl/>
        </w:rPr>
        <w:t xml:space="preserve">תצהיר העדות הראשית שלי (להלן: </w:t>
      </w:r>
      <w:r w:rsidRPr="0096007F">
        <w:rPr>
          <w:rFonts w:ascii="David" w:hAnsi="David" w:cs="David" w:hint="cs"/>
          <w:b/>
          <w:bCs/>
          <w:rtl/>
        </w:rPr>
        <w:t>התצהיר</w:t>
      </w:r>
      <w:r w:rsidRPr="0096007F">
        <w:rPr>
          <w:rFonts w:ascii="David" w:hAnsi="David" w:cs="David" w:hint="cs"/>
          <w:rtl/>
        </w:rPr>
        <w:t xml:space="preserve">), נתוני המדידות ותקליטור הראיות צורפו כנספחים לבקשה </w:t>
      </w:r>
    </w:p>
    <w:p w:rsidR="00863017" w:rsidRPr="0096007F" w:rsidRDefault="00093D76" w:rsidP="00863017">
      <w:pPr>
        <w:bidi/>
        <w:spacing w:line="360" w:lineRule="auto"/>
        <w:rPr>
          <w:rFonts w:ascii="David" w:hAnsi="David" w:cs="David"/>
          <w:rtl/>
        </w:rPr>
      </w:pPr>
      <w:r w:rsidRPr="0096007F">
        <w:rPr>
          <w:rFonts w:ascii="David" w:hAnsi="David" w:cs="David" w:hint="cs"/>
          <w:rtl/>
        </w:rPr>
        <w:t xml:space="preserve">הנוספת לצירוף ראיות נוספות בערעור </w:t>
      </w:r>
      <w:r w:rsidRPr="0096007F">
        <w:rPr>
          <w:rFonts w:ascii="David" w:hAnsi="David" w:cs="David" w:hint="cs"/>
          <w:b/>
          <w:bCs/>
          <w:rtl/>
        </w:rPr>
        <w:t>(נ/28)</w:t>
      </w:r>
      <w:r w:rsidRPr="0096007F">
        <w:rPr>
          <w:rFonts w:ascii="David" w:hAnsi="David" w:cs="David" w:hint="cs"/>
          <w:rtl/>
        </w:rPr>
        <w:t xml:space="preserve"> שהוגשה כי כב' הש' (עמיתה) שרה דותן קבעה שהבקשה לקבלת ראיות נוספות בערעור תידון בדיון במעמד הצדדים.</w:t>
      </w:r>
    </w:p>
    <w:p w:rsidR="00E510E2" w:rsidRPr="0096007F" w:rsidRDefault="00323CC5" w:rsidP="0096007F">
      <w:pPr>
        <w:pStyle w:val="ListParagraph"/>
        <w:numPr>
          <w:ilvl w:val="0"/>
          <w:numId w:val="8"/>
        </w:numPr>
        <w:bidi/>
        <w:spacing w:line="360" w:lineRule="auto"/>
        <w:ind w:hanging="50"/>
        <w:rPr>
          <w:rFonts w:ascii="David" w:hAnsi="David" w:cs="David"/>
        </w:rPr>
      </w:pPr>
      <w:r w:rsidRPr="0096007F">
        <w:rPr>
          <w:rFonts w:ascii="David" w:hAnsi="David" w:cs="David" w:hint="cs"/>
          <w:rtl/>
        </w:rPr>
        <w:t xml:space="preserve">אישור קבלת תקליטור הראיות </w:t>
      </w:r>
      <w:r w:rsidR="0096007F" w:rsidRPr="0096007F">
        <w:rPr>
          <w:rFonts w:ascii="David" w:hAnsi="David" w:cs="David" w:hint="cs"/>
          <w:rtl/>
        </w:rPr>
        <w:t xml:space="preserve">בהליך הערעור רצ"ב </w:t>
      </w:r>
      <w:r w:rsidR="0096007F" w:rsidRPr="0096007F">
        <w:rPr>
          <w:rFonts w:ascii="David" w:hAnsi="David" w:cs="David" w:hint="cs"/>
          <w:b/>
          <w:bCs/>
          <w:u w:val="single"/>
          <w:rtl/>
        </w:rPr>
        <w:t>כנספח 1</w:t>
      </w:r>
      <w:r w:rsidR="0096007F" w:rsidRPr="0096007F">
        <w:rPr>
          <w:rFonts w:ascii="David" w:hAnsi="David" w:cs="David" w:hint="cs"/>
          <w:rtl/>
        </w:rPr>
        <w:t>, ו</w:t>
      </w:r>
      <w:r w:rsidRPr="0096007F">
        <w:rPr>
          <w:rFonts w:ascii="David" w:hAnsi="David" w:cs="David" w:hint="cs"/>
          <w:rtl/>
        </w:rPr>
        <w:t xml:space="preserve">נמצא </w:t>
      </w:r>
      <w:r w:rsidR="0096007F" w:rsidRPr="0096007F">
        <w:rPr>
          <w:rFonts w:ascii="David" w:hAnsi="David" w:cs="David" w:hint="cs"/>
          <w:rtl/>
        </w:rPr>
        <w:t xml:space="preserve">גם </w:t>
      </w:r>
      <w:r w:rsidRPr="0096007F">
        <w:rPr>
          <w:rFonts w:ascii="David" w:hAnsi="David" w:cs="David" w:hint="cs"/>
          <w:rtl/>
        </w:rPr>
        <w:t>בעמ' 7 לתיק המוצגים בערעור בפני ביהמ"ש המחוזי.</w:t>
      </w:r>
      <w:r w:rsidR="0096007F" w:rsidRPr="0096007F">
        <w:rPr>
          <w:rFonts w:ascii="David" w:hAnsi="David" w:cs="David" w:hint="cs"/>
          <w:rtl/>
        </w:rPr>
        <w:t xml:space="preserve"> </w:t>
      </w:r>
      <w:r w:rsidR="00E510E2" w:rsidRPr="0096007F">
        <w:rPr>
          <w:rFonts w:ascii="David" w:hAnsi="David" w:cs="David" w:hint="cs"/>
          <w:b/>
          <w:bCs/>
          <w:rtl/>
        </w:rPr>
        <w:t>כל ההפניות בבקשה זאת הן לנספחים שצורפו לכתב הבר"ע.</w:t>
      </w:r>
    </w:p>
    <w:p w:rsidR="00E510E2" w:rsidRPr="0096007F" w:rsidRDefault="00E510E2" w:rsidP="00E510E2">
      <w:pPr>
        <w:bidi/>
        <w:spacing w:line="360" w:lineRule="auto"/>
        <w:rPr>
          <w:rFonts w:ascii="David" w:hAnsi="David" w:cs="David"/>
          <w:rtl/>
        </w:rPr>
      </w:pPr>
      <w:r w:rsidRPr="0096007F">
        <w:rPr>
          <w:rFonts w:ascii="David" w:hAnsi="David" w:cs="David" w:hint="cs"/>
          <w:rtl/>
        </w:rPr>
        <w:t xml:space="preserve">הפניה לנספח </w:t>
      </w:r>
      <w:r w:rsidRPr="0096007F">
        <w:rPr>
          <w:rFonts w:ascii="David" w:hAnsi="David" w:cs="David" w:hint="cs"/>
        </w:rPr>
        <w:t>X</w:t>
      </w:r>
      <w:r w:rsidRPr="0096007F">
        <w:rPr>
          <w:rFonts w:ascii="David" w:hAnsi="David" w:cs="David" w:hint="cs"/>
          <w:rtl/>
        </w:rPr>
        <w:t xml:space="preserve"> תעשה ע"י </w:t>
      </w:r>
      <w:r w:rsidRPr="0096007F">
        <w:rPr>
          <w:rFonts w:ascii="David" w:hAnsi="David" w:cs="David" w:hint="cs"/>
          <w:b/>
          <w:bCs/>
          <w:rtl/>
        </w:rPr>
        <w:t>"נ/</w:t>
      </w:r>
      <w:r w:rsidRPr="0096007F">
        <w:rPr>
          <w:rFonts w:ascii="David" w:hAnsi="David" w:cs="David" w:hint="cs"/>
          <w:b/>
          <w:bCs/>
        </w:rPr>
        <w:t>X</w:t>
      </w:r>
      <w:r w:rsidRPr="0096007F">
        <w:rPr>
          <w:rFonts w:ascii="David" w:hAnsi="David" w:cs="David" w:hint="cs"/>
          <w:b/>
          <w:bCs/>
          <w:rtl/>
        </w:rPr>
        <w:t>"</w:t>
      </w:r>
      <w:r w:rsidRPr="0096007F">
        <w:rPr>
          <w:rFonts w:ascii="David" w:hAnsi="David" w:cs="David" w:hint="cs"/>
          <w:rtl/>
        </w:rPr>
        <w:t xml:space="preserve">, והפניה לנספח </w:t>
      </w:r>
      <w:r w:rsidRPr="0096007F">
        <w:rPr>
          <w:rFonts w:ascii="David" w:hAnsi="David" w:cs="David" w:hint="cs"/>
        </w:rPr>
        <w:t>N</w:t>
      </w:r>
      <w:r w:rsidRPr="0096007F">
        <w:rPr>
          <w:rFonts w:ascii="David" w:hAnsi="David" w:cs="David" w:hint="cs"/>
          <w:rtl/>
        </w:rPr>
        <w:t xml:space="preserve"> של נספח </w:t>
      </w:r>
      <w:r w:rsidRPr="0096007F">
        <w:rPr>
          <w:rFonts w:ascii="David" w:hAnsi="David" w:cs="David" w:hint="cs"/>
        </w:rPr>
        <w:t>M</w:t>
      </w:r>
      <w:r w:rsidRPr="0096007F">
        <w:rPr>
          <w:rFonts w:ascii="David" w:hAnsi="David" w:cs="David" w:hint="cs"/>
          <w:rtl/>
        </w:rPr>
        <w:t xml:space="preserve"> תעשה ע"י </w:t>
      </w:r>
      <w:r w:rsidRPr="0096007F">
        <w:rPr>
          <w:rFonts w:ascii="David" w:hAnsi="David" w:cs="David" w:hint="cs"/>
          <w:b/>
          <w:bCs/>
          <w:rtl/>
        </w:rPr>
        <w:t>"נ/</w:t>
      </w:r>
      <w:r w:rsidRPr="0096007F">
        <w:rPr>
          <w:rFonts w:ascii="David" w:hAnsi="David" w:cs="David" w:hint="cs"/>
          <w:b/>
          <w:bCs/>
        </w:rPr>
        <w:t>M</w:t>
      </w:r>
      <w:r w:rsidRPr="0096007F">
        <w:rPr>
          <w:rFonts w:ascii="David" w:hAnsi="David" w:cs="David" w:hint="cs"/>
          <w:b/>
          <w:bCs/>
          <w:rtl/>
        </w:rPr>
        <w:t>-נ/</w:t>
      </w:r>
      <w:r w:rsidRPr="0096007F">
        <w:rPr>
          <w:rFonts w:ascii="David" w:hAnsi="David" w:cs="David" w:hint="cs"/>
          <w:b/>
          <w:bCs/>
        </w:rPr>
        <w:t>N</w:t>
      </w:r>
      <w:r w:rsidRPr="0096007F">
        <w:rPr>
          <w:rFonts w:ascii="David" w:hAnsi="David" w:cs="David" w:hint="cs"/>
          <w:b/>
          <w:bCs/>
          <w:rtl/>
        </w:rPr>
        <w:t>"</w:t>
      </w:r>
      <w:r w:rsidRPr="0096007F">
        <w:rPr>
          <w:rFonts w:ascii="David" w:hAnsi="David" w:cs="David" w:hint="cs"/>
          <w:rtl/>
        </w:rPr>
        <w:t>.</w:t>
      </w:r>
    </w:p>
    <w:p w:rsidR="004E68D6" w:rsidRPr="0096007F" w:rsidRDefault="004E68D6" w:rsidP="004E68D6">
      <w:pPr>
        <w:widowControl w:val="0"/>
        <w:bidi/>
        <w:spacing w:before="240" w:line="360" w:lineRule="auto"/>
        <w:rPr>
          <w:rFonts w:ascii="David" w:hAnsi="David" w:cs="David"/>
          <w:b/>
          <w:bCs/>
          <w:sz w:val="32"/>
          <w:szCs w:val="32"/>
          <w:rtl/>
        </w:rPr>
      </w:pPr>
      <w:r w:rsidRPr="0096007F">
        <w:rPr>
          <w:rFonts w:ascii="David" w:hAnsi="David" w:cs="David" w:hint="cs"/>
          <w:b/>
          <w:bCs/>
          <w:sz w:val="32"/>
          <w:szCs w:val="32"/>
          <w:rtl/>
        </w:rPr>
        <w:t>גוף הבקשה : נימוקי הבקשה ב-5 העמודים הבאים.</w:t>
      </w:r>
    </w:p>
    <w:p w:rsidR="00E510E2" w:rsidRPr="0096007F" w:rsidRDefault="004E68D6" w:rsidP="004E68D6">
      <w:pPr>
        <w:bidi/>
        <w:spacing w:line="360" w:lineRule="auto"/>
        <w:rPr>
          <w:rFonts w:ascii="David" w:hAnsi="David" w:cs="David"/>
          <w:rtl/>
        </w:rPr>
      </w:pPr>
      <w:r w:rsidRPr="0096007F">
        <w:rPr>
          <w:rFonts w:ascii="David" w:hAnsi="David" w:cs="David" w:hint="cs"/>
          <w:b/>
          <w:bCs/>
          <w:rtl/>
        </w:rPr>
        <w:t>מצורף תצהיר תומך.</w:t>
      </w:r>
    </w:p>
    <w:p w:rsidR="0012120F" w:rsidRPr="0096007F" w:rsidRDefault="00A212D2" w:rsidP="00D94F55">
      <w:pPr>
        <w:pStyle w:val="ListParagraph"/>
        <w:widowControl w:val="0"/>
        <w:numPr>
          <w:ilvl w:val="0"/>
          <w:numId w:val="2"/>
        </w:numPr>
        <w:shd w:val="clear" w:color="auto" w:fill="FFFFFF"/>
        <w:tabs>
          <w:tab w:val="right" w:pos="8640"/>
        </w:tabs>
        <w:bidi/>
        <w:spacing w:before="120" w:line="360" w:lineRule="auto"/>
        <w:ind w:left="135" w:hanging="426"/>
        <w:contextualSpacing w:val="0"/>
        <w:jc w:val="both"/>
        <w:rPr>
          <w:rFonts w:ascii="David" w:hAnsi="David" w:cs="David"/>
          <w:color w:val="000000"/>
        </w:rPr>
      </w:pPr>
      <w:r w:rsidRPr="0096007F">
        <w:rPr>
          <w:rFonts w:ascii="David" w:hAnsi="David" w:cs="David" w:hint="cs"/>
          <w:color w:val="000000"/>
          <w:rtl/>
        </w:rPr>
        <w:lastRenderedPageBreak/>
        <w:t>למעשה, בקשה זאת היא בקשה</w:t>
      </w:r>
      <w:r w:rsidR="0012120F" w:rsidRPr="0096007F">
        <w:rPr>
          <w:rFonts w:ascii="David" w:hAnsi="David" w:cs="David" w:hint="cs"/>
          <w:color w:val="000000"/>
          <w:rtl/>
        </w:rPr>
        <w:t xml:space="preserve"> </w:t>
      </w:r>
      <w:r w:rsidRPr="0096007F">
        <w:rPr>
          <w:rFonts w:ascii="David" w:hAnsi="David" w:cs="David" w:hint="cs"/>
          <w:color w:val="000000"/>
          <w:rtl/>
        </w:rPr>
        <w:t xml:space="preserve">לקריאת הבקשה </w:t>
      </w:r>
      <w:r w:rsidR="0012120F" w:rsidRPr="0096007F">
        <w:rPr>
          <w:rFonts w:ascii="David" w:hAnsi="David" w:cs="David" w:hint="cs"/>
          <w:color w:val="000000"/>
          <w:rtl/>
        </w:rPr>
        <w:t xml:space="preserve">לקבלת הראיות הנוספות בערעור (להלן: </w:t>
      </w:r>
      <w:r w:rsidR="0012120F" w:rsidRPr="0096007F">
        <w:rPr>
          <w:rFonts w:ascii="David" w:hAnsi="David" w:cs="David" w:hint="cs"/>
          <w:b/>
          <w:bCs/>
          <w:color w:val="000000"/>
          <w:rtl/>
        </w:rPr>
        <w:t>הבקשה</w:t>
      </w:r>
      <w:r w:rsidR="0012120F" w:rsidRPr="0096007F">
        <w:rPr>
          <w:rFonts w:ascii="David" w:hAnsi="David" w:cs="David" w:hint="cs"/>
          <w:color w:val="000000"/>
          <w:rtl/>
        </w:rPr>
        <w:t xml:space="preserve">) ואת הבקשה הנוספת שהגשתי לקבלת התצהיר, התקליטור ונתוני המדידה (להלן: </w:t>
      </w:r>
      <w:r w:rsidR="0012120F" w:rsidRPr="0096007F">
        <w:rPr>
          <w:rFonts w:ascii="David" w:hAnsi="David" w:cs="David" w:hint="cs"/>
          <w:b/>
          <w:bCs/>
          <w:color w:val="000000"/>
          <w:rtl/>
        </w:rPr>
        <w:t>הבקשה הנוספת</w:t>
      </w:r>
      <w:r w:rsidR="0012120F" w:rsidRPr="0096007F">
        <w:rPr>
          <w:rFonts w:ascii="David" w:hAnsi="David" w:cs="David" w:hint="cs"/>
          <w:color w:val="000000"/>
          <w:rtl/>
        </w:rPr>
        <w:t>) שהייתה משלימה וקצרה</w:t>
      </w:r>
      <w:r w:rsidR="000120A5" w:rsidRPr="0096007F">
        <w:rPr>
          <w:rFonts w:ascii="David" w:hAnsi="David" w:cs="David" w:hint="cs"/>
          <w:color w:val="000000"/>
          <w:rtl/>
        </w:rPr>
        <w:t>,</w:t>
      </w:r>
      <w:r w:rsidR="0012120F" w:rsidRPr="0096007F">
        <w:rPr>
          <w:rFonts w:ascii="David" w:hAnsi="David" w:cs="David" w:hint="cs"/>
          <w:color w:val="000000"/>
          <w:rtl/>
        </w:rPr>
        <w:t xml:space="preserve"> והוגשה כי השופטת בערעור, כב' הש' (עמיתה) שרה דותן החליטה שהבקשה תידון בדיון והיה צורך שהתצהיר יהיה בפניה בטרם הדיון.</w:t>
      </w:r>
    </w:p>
    <w:p w:rsidR="00D52D9F" w:rsidRPr="0096007F" w:rsidRDefault="00D52D9F" w:rsidP="00D94F55">
      <w:pPr>
        <w:pStyle w:val="ListParagraph"/>
        <w:widowControl w:val="0"/>
        <w:numPr>
          <w:ilvl w:val="0"/>
          <w:numId w:val="2"/>
        </w:numPr>
        <w:shd w:val="clear" w:color="auto" w:fill="FFFFFF"/>
        <w:tabs>
          <w:tab w:val="right" w:pos="8640"/>
        </w:tabs>
        <w:bidi/>
        <w:spacing w:before="120" w:line="360" w:lineRule="auto"/>
        <w:ind w:left="135" w:hanging="426"/>
        <w:contextualSpacing w:val="0"/>
        <w:jc w:val="both"/>
        <w:rPr>
          <w:rFonts w:ascii="David" w:hAnsi="David" w:cs="David"/>
          <w:color w:val="000000"/>
        </w:rPr>
      </w:pPr>
      <w:r w:rsidRPr="0096007F">
        <w:rPr>
          <w:rFonts w:ascii="David" w:hAnsi="David" w:cs="David" w:hint="cs"/>
          <w:color w:val="000000"/>
          <w:rtl/>
        </w:rPr>
        <w:t xml:space="preserve">בהחלטתו מיום 13.12.15 </w:t>
      </w:r>
      <w:r w:rsidRPr="0096007F">
        <w:rPr>
          <w:rFonts w:ascii="David" w:hAnsi="David" w:cs="David" w:hint="cs"/>
          <w:b/>
          <w:bCs/>
          <w:color w:val="000000"/>
          <w:rtl/>
        </w:rPr>
        <w:t>(נ11-נ/2)</w:t>
      </w:r>
      <w:r w:rsidRPr="0096007F">
        <w:rPr>
          <w:rFonts w:ascii="David" w:hAnsi="David" w:cs="David" w:hint="cs"/>
          <w:color w:val="000000"/>
          <w:rtl/>
        </w:rPr>
        <w:t xml:space="preserve"> פסל כב' השופט קמא מיכאל תמיר את תצהיר העדות הראשית שלי בגלל אורכו</w:t>
      </w:r>
      <w:r w:rsidR="003B6921" w:rsidRPr="0096007F">
        <w:rPr>
          <w:rFonts w:ascii="David" w:hAnsi="David" w:cs="David" w:hint="cs"/>
          <w:color w:val="000000"/>
          <w:rtl/>
        </w:rPr>
        <w:t xml:space="preserve"> (להלן: </w:t>
      </w:r>
      <w:r w:rsidR="00E35E1A" w:rsidRPr="0096007F">
        <w:rPr>
          <w:rFonts w:ascii="David" w:hAnsi="David" w:cs="David" w:hint="cs"/>
          <w:b/>
          <w:bCs/>
          <w:color w:val="000000"/>
          <w:rtl/>
        </w:rPr>
        <w:t>ההחלטה,</w:t>
      </w:r>
      <w:r w:rsidR="00E35E1A" w:rsidRPr="0096007F">
        <w:rPr>
          <w:rFonts w:ascii="David" w:hAnsi="David" w:cs="David" w:hint="cs"/>
          <w:color w:val="000000"/>
          <w:rtl/>
        </w:rPr>
        <w:t xml:space="preserve"> </w:t>
      </w:r>
      <w:r w:rsidR="003B6921" w:rsidRPr="0096007F">
        <w:rPr>
          <w:rFonts w:ascii="David" w:hAnsi="David" w:cs="David" w:hint="cs"/>
          <w:b/>
          <w:bCs/>
          <w:color w:val="000000"/>
          <w:rtl/>
        </w:rPr>
        <w:t>התצהיר</w:t>
      </w:r>
      <w:r w:rsidR="003B6921" w:rsidRPr="0096007F">
        <w:rPr>
          <w:rFonts w:ascii="David" w:hAnsi="David" w:cs="David" w:hint="cs"/>
          <w:color w:val="000000"/>
          <w:rtl/>
        </w:rPr>
        <w:t>)</w:t>
      </w:r>
      <w:r w:rsidRPr="0096007F">
        <w:rPr>
          <w:rFonts w:ascii="David" w:hAnsi="David" w:cs="David" w:hint="cs"/>
          <w:color w:val="000000"/>
          <w:rtl/>
        </w:rPr>
        <w:t xml:space="preserve">, והוציא את נספחיו </w:t>
      </w:r>
      <w:r w:rsidR="003B6921" w:rsidRPr="0096007F">
        <w:rPr>
          <w:rFonts w:ascii="David" w:hAnsi="David" w:cs="David" w:hint="cs"/>
          <w:color w:val="000000"/>
          <w:rtl/>
        </w:rPr>
        <w:t xml:space="preserve">מהתיק </w:t>
      </w:r>
      <w:r w:rsidRPr="0096007F">
        <w:rPr>
          <w:rFonts w:ascii="David" w:hAnsi="David" w:cs="David" w:hint="cs"/>
          <w:color w:val="000000"/>
          <w:rtl/>
        </w:rPr>
        <w:t>והורה לי להגישם שוב בצורת "תיק מוצגים" מבלי להבהיר את מהותו הדיונית והמשפטית</w:t>
      </w:r>
      <w:r w:rsidR="003B6921" w:rsidRPr="0096007F">
        <w:rPr>
          <w:rFonts w:ascii="David" w:hAnsi="David" w:cs="David" w:hint="cs"/>
          <w:color w:val="000000"/>
          <w:rtl/>
        </w:rPr>
        <w:t>,</w:t>
      </w:r>
      <w:r w:rsidRPr="0096007F">
        <w:rPr>
          <w:rFonts w:ascii="David" w:hAnsi="David" w:cs="David" w:hint="cs"/>
          <w:color w:val="000000"/>
          <w:rtl/>
        </w:rPr>
        <w:t xml:space="preserve"> שכן בתקנות סד"א 1984 לא מוגדר תיק מוצגים במסגרת הליך המתנהל בערכאת הדיון, וסירב לה</w:t>
      </w:r>
      <w:r w:rsidR="003B6921" w:rsidRPr="0096007F">
        <w:rPr>
          <w:rFonts w:ascii="David" w:hAnsi="David" w:cs="David" w:hint="cs"/>
          <w:color w:val="000000"/>
          <w:rtl/>
        </w:rPr>
        <w:t xml:space="preserve">בהיר את מהותו </w:t>
      </w:r>
      <w:r w:rsidRPr="0096007F">
        <w:rPr>
          <w:rFonts w:ascii="David" w:hAnsi="David" w:cs="David" w:hint="cs"/>
          <w:color w:val="000000"/>
          <w:rtl/>
        </w:rPr>
        <w:t>לבקשתי להבהרה.</w:t>
      </w:r>
    </w:p>
    <w:p w:rsidR="00914222" w:rsidRPr="0096007F" w:rsidRDefault="00684420" w:rsidP="00D94F55">
      <w:pPr>
        <w:pStyle w:val="ListParagraph"/>
        <w:widowControl w:val="0"/>
        <w:numPr>
          <w:ilvl w:val="0"/>
          <w:numId w:val="2"/>
        </w:numPr>
        <w:shd w:val="clear" w:color="auto" w:fill="FFFFFF"/>
        <w:tabs>
          <w:tab w:val="right" w:pos="8640"/>
        </w:tabs>
        <w:bidi/>
        <w:spacing w:before="120" w:line="360" w:lineRule="auto"/>
        <w:ind w:left="135" w:hanging="426"/>
        <w:contextualSpacing w:val="0"/>
        <w:jc w:val="both"/>
        <w:rPr>
          <w:rFonts w:ascii="David" w:hAnsi="David" w:cs="David"/>
          <w:color w:val="000000"/>
        </w:rPr>
      </w:pPr>
      <w:r w:rsidRPr="0096007F">
        <w:rPr>
          <w:rFonts w:ascii="David" w:hAnsi="David" w:cs="David" w:hint="cs"/>
          <w:color w:val="000000"/>
          <w:rtl/>
        </w:rPr>
        <w:t xml:space="preserve">בקשה זאת מוגשת לשם הזהירות שכן </w:t>
      </w:r>
      <w:r w:rsidR="00914222" w:rsidRPr="0096007F">
        <w:rPr>
          <w:rFonts w:ascii="David" w:hAnsi="David" w:cs="David" w:hint="cs"/>
          <w:color w:val="000000"/>
          <w:rtl/>
        </w:rPr>
        <w:t xml:space="preserve">תיק המוצגים מטעמי הוגש כדין </w:t>
      </w:r>
      <w:r w:rsidRPr="0096007F">
        <w:rPr>
          <w:rFonts w:ascii="David" w:hAnsi="David" w:cs="David" w:hint="cs"/>
          <w:color w:val="000000"/>
          <w:rtl/>
        </w:rPr>
        <w:t xml:space="preserve">בהליך קמא </w:t>
      </w:r>
      <w:r w:rsidR="00914222" w:rsidRPr="0096007F">
        <w:rPr>
          <w:rFonts w:ascii="David" w:hAnsi="David" w:cs="David" w:hint="cs"/>
          <w:color w:val="000000"/>
          <w:rtl/>
        </w:rPr>
        <w:t>ולא הוצא מהתי</w:t>
      </w:r>
      <w:r w:rsidRPr="0096007F">
        <w:rPr>
          <w:rFonts w:ascii="David" w:hAnsi="David" w:cs="David" w:hint="cs"/>
          <w:color w:val="000000"/>
          <w:rtl/>
        </w:rPr>
        <w:t>ק</w:t>
      </w:r>
      <w:r w:rsidR="00914222" w:rsidRPr="0096007F">
        <w:rPr>
          <w:rFonts w:ascii="David" w:hAnsi="David" w:cs="David" w:hint="cs"/>
          <w:color w:val="000000"/>
          <w:rtl/>
        </w:rPr>
        <w:t xml:space="preserve"> בשום שלב, וכולל שלושה כרכי ראיות, </w:t>
      </w:r>
      <w:r w:rsidR="00914222" w:rsidRPr="0096007F">
        <w:rPr>
          <w:rFonts w:ascii="David" w:hAnsi="David" w:cs="David" w:hint="cs"/>
          <w:b/>
          <w:bCs/>
          <w:color w:val="000000"/>
          <w:rtl/>
        </w:rPr>
        <w:t>נ/30, נ/31 ו-נ/32 לכתב הבר"ע</w:t>
      </w:r>
      <w:r w:rsidR="00914222" w:rsidRPr="0096007F">
        <w:rPr>
          <w:rFonts w:ascii="David" w:hAnsi="David" w:cs="David" w:hint="cs"/>
          <w:color w:val="000000"/>
          <w:rtl/>
        </w:rPr>
        <w:t xml:space="preserve">, שהם </w:t>
      </w:r>
      <w:r w:rsidR="00BA6632" w:rsidRPr="0096007F">
        <w:rPr>
          <w:rFonts w:ascii="David" w:hAnsi="David" w:cs="David" w:hint="cs"/>
          <w:b/>
          <w:bCs/>
          <w:color w:val="000000"/>
          <w:rtl/>
        </w:rPr>
        <w:t xml:space="preserve">מוצגים מ/42, מ/43 ו-מ/44 </w:t>
      </w:r>
      <w:r w:rsidR="00BA6632" w:rsidRPr="0096007F">
        <w:rPr>
          <w:rFonts w:ascii="David" w:hAnsi="David" w:cs="David" w:hint="cs"/>
          <w:color w:val="000000"/>
          <w:rtl/>
        </w:rPr>
        <w:t>לתיק המוצגים בהליך הערעור</w:t>
      </w:r>
      <w:r w:rsidRPr="0096007F">
        <w:rPr>
          <w:rFonts w:ascii="David" w:hAnsi="David" w:cs="David" w:hint="cs"/>
          <w:color w:val="000000"/>
          <w:rtl/>
        </w:rPr>
        <w:t>, ולאור היותו "תיק מוצגים" מטעמי כתובע, הריהו כהתקבל לתיק</w:t>
      </w:r>
      <w:r w:rsidR="00F83A93" w:rsidRPr="0096007F">
        <w:rPr>
          <w:rFonts w:ascii="David" w:hAnsi="David" w:cs="David" w:hint="cs"/>
          <w:color w:val="000000"/>
          <w:rtl/>
        </w:rPr>
        <w:t xml:space="preserve"> ומעמדו כשל ראיות שצורפו לתצהיר עדות ראשית</w:t>
      </w:r>
      <w:r w:rsidRPr="0096007F">
        <w:rPr>
          <w:rFonts w:ascii="David" w:hAnsi="David" w:cs="David" w:hint="cs"/>
          <w:color w:val="000000"/>
          <w:rtl/>
        </w:rPr>
        <w:t>, שכן כששופט מקבל ראיה הוא מסמן אותה כ"מוצג".</w:t>
      </w:r>
    </w:p>
    <w:p w:rsidR="00A154E9" w:rsidRPr="0096007F" w:rsidRDefault="007F4DC4" w:rsidP="00D94F55">
      <w:pPr>
        <w:pStyle w:val="ListParagraph"/>
        <w:widowControl w:val="0"/>
        <w:shd w:val="clear" w:color="auto" w:fill="FFFFFF"/>
        <w:tabs>
          <w:tab w:val="right" w:pos="8640"/>
        </w:tabs>
        <w:bidi/>
        <w:spacing w:before="120" w:line="360" w:lineRule="auto"/>
        <w:ind w:left="135"/>
        <w:contextualSpacing w:val="0"/>
        <w:jc w:val="both"/>
        <w:rPr>
          <w:rFonts w:ascii="David" w:hAnsi="David" w:cs="David"/>
          <w:b/>
          <w:bCs/>
          <w:color w:val="000000"/>
          <w:u w:val="single"/>
        </w:rPr>
      </w:pPr>
      <w:r w:rsidRPr="0096007F">
        <w:rPr>
          <w:rFonts w:ascii="David" w:hAnsi="David" w:cs="David" w:hint="cs"/>
          <w:b/>
          <w:bCs/>
          <w:color w:val="000000"/>
          <w:u w:val="single"/>
          <w:rtl/>
        </w:rPr>
        <w:t>הוכחת</w:t>
      </w:r>
      <w:r w:rsidR="00A154E9" w:rsidRPr="0096007F">
        <w:rPr>
          <w:rFonts w:ascii="David" w:hAnsi="David" w:cs="David" w:hint="cs"/>
          <w:b/>
          <w:bCs/>
          <w:color w:val="000000"/>
          <w:u w:val="single"/>
          <w:rtl/>
        </w:rPr>
        <w:t xml:space="preserve"> חזקת מחדל הקריאה והבקיאות:</w:t>
      </w:r>
    </w:p>
    <w:p w:rsidR="00FF7C87" w:rsidRPr="0096007F" w:rsidRDefault="00E510E2" w:rsidP="004E68D6">
      <w:pPr>
        <w:pStyle w:val="ListParagraph"/>
        <w:widowControl w:val="0"/>
        <w:numPr>
          <w:ilvl w:val="0"/>
          <w:numId w:val="2"/>
        </w:numPr>
        <w:shd w:val="clear" w:color="auto" w:fill="FFFFFF"/>
        <w:tabs>
          <w:tab w:val="right" w:pos="8640"/>
        </w:tabs>
        <w:bidi/>
        <w:spacing w:before="120" w:line="360" w:lineRule="auto"/>
        <w:ind w:left="135" w:hanging="426"/>
        <w:contextualSpacing w:val="0"/>
        <w:jc w:val="both"/>
        <w:rPr>
          <w:rFonts w:ascii="David" w:hAnsi="David" w:cs="David"/>
          <w:color w:val="000000"/>
        </w:rPr>
      </w:pPr>
      <w:r w:rsidRPr="0096007F">
        <w:rPr>
          <w:rFonts w:ascii="David" w:hAnsi="David" w:cs="David" w:hint="cs"/>
          <w:color w:val="000000"/>
          <w:rtl/>
        </w:rPr>
        <w:t xml:space="preserve">מדובר בשופטת במינוי "עמית" שמשתכרת 166 ₪ </w:t>
      </w:r>
      <w:r w:rsidRPr="0096007F">
        <w:rPr>
          <w:rFonts w:ascii="David" w:hAnsi="David" w:cs="David" w:hint="cs"/>
          <w:b/>
          <w:bCs/>
          <w:color w:val="000000"/>
          <w:u w:val="single"/>
          <w:rtl/>
        </w:rPr>
        <w:t>על כל ההליך כולל הכל</w:t>
      </w:r>
      <w:r w:rsidRPr="0096007F">
        <w:rPr>
          <w:rFonts w:ascii="David" w:hAnsi="David" w:cs="David" w:hint="cs"/>
          <w:color w:val="000000"/>
          <w:rtl/>
        </w:rPr>
        <w:t xml:space="preserve"> (</w:t>
      </w:r>
      <w:r w:rsidRPr="0096007F">
        <w:rPr>
          <w:rFonts w:ascii="David" w:hAnsi="David" w:cs="David" w:hint="cs"/>
          <w:b/>
          <w:bCs/>
          <w:color w:val="000000"/>
          <w:rtl/>
        </w:rPr>
        <w:t xml:space="preserve">סע' </w:t>
      </w:r>
      <w:r w:rsidR="004E68D6" w:rsidRPr="0096007F">
        <w:rPr>
          <w:rFonts w:ascii="David" w:hAnsi="David" w:cs="David" w:hint="cs"/>
          <w:b/>
          <w:bCs/>
          <w:color w:val="000000"/>
          <w:rtl/>
        </w:rPr>
        <w:t>61</w:t>
      </w:r>
      <w:r w:rsidRPr="0096007F">
        <w:rPr>
          <w:rFonts w:ascii="David" w:hAnsi="David" w:cs="David" w:hint="cs"/>
          <w:b/>
          <w:bCs/>
          <w:color w:val="000000"/>
          <w:rtl/>
        </w:rPr>
        <w:t xml:space="preserve"> לבר"ע</w:t>
      </w:r>
      <w:r w:rsidRPr="0096007F">
        <w:rPr>
          <w:rFonts w:ascii="David" w:hAnsi="David" w:cs="David" w:hint="cs"/>
          <w:color w:val="000000"/>
          <w:rtl/>
        </w:rPr>
        <w:t>)</w:t>
      </w:r>
      <w:r w:rsidR="004375B0" w:rsidRPr="0096007F">
        <w:rPr>
          <w:rFonts w:ascii="David" w:hAnsi="David" w:cs="David" w:hint="cs"/>
          <w:color w:val="000000"/>
          <w:rtl/>
        </w:rPr>
        <w:t xml:space="preserve"> בגימלאות ובמשרה חלקית של יום בשבוע</w:t>
      </w:r>
      <w:r w:rsidR="00FF7C87" w:rsidRPr="0096007F">
        <w:rPr>
          <w:rFonts w:ascii="David" w:hAnsi="David" w:cs="David" w:hint="cs"/>
          <w:color w:val="000000"/>
          <w:rtl/>
        </w:rPr>
        <w:t>, וברור שבתנאים אלו לא תעשה מלאכת שיפוט מינימלית וכדין.</w:t>
      </w:r>
    </w:p>
    <w:p w:rsidR="00E510E2" w:rsidRPr="0096007F" w:rsidRDefault="00E510E2" w:rsidP="00D94F55">
      <w:pPr>
        <w:pStyle w:val="ListParagraph"/>
        <w:widowControl w:val="0"/>
        <w:numPr>
          <w:ilvl w:val="0"/>
          <w:numId w:val="2"/>
        </w:numPr>
        <w:shd w:val="clear" w:color="auto" w:fill="FFFFFF"/>
        <w:tabs>
          <w:tab w:val="right" w:pos="8640"/>
        </w:tabs>
        <w:bidi/>
        <w:spacing w:before="120" w:line="360" w:lineRule="auto"/>
        <w:ind w:left="135" w:hanging="426"/>
        <w:contextualSpacing w:val="0"/>
        <w:jc w:val="both"/>
        <w:rPr>
          <w:rFonts w:ascii="David" w:hAnsi="David" w:cs="David"/>
          <w:color w:val="000000"/>
        </w:rPr>
      </w:pPr>
      <w:r w:rsidRPr="0096007F">
        <w:rPr>
          <w:rFonts w:ascii="David" w:hAnsi="David" w:cs="David" w:hint="cs"/>
          <w:color w:val="000000"/>
          <w:rtl/>
        </w:rPr>
        <w:t>מהתנהלותה בהליך ו</w:t>
      </w:r>
      <w:r w:rsidR="004375B0" w:rsidRPr="0096007F">
        <w:rPr>
          <w:rFonts w:ascii="David" w:hAnsi="David" w:cs="David" w:hint="cs"/>
          <w:color w:val="000000"/>
          <w:rtl/>
        </w:rPr>
        <w:t>ה</w:t>
      </w:r>
      <w:r w:rsidRPr="0096007F">
        <w:rPr>
          <w:rFonts w:ascii="David" w:hAnsi="David" w:cs="David" w:hint="cs"/>
          <w:color w:val="000000"/>
          <w:rtl/>
        </w:rPr>
        <w:t xml:space="preserve">דיון </w:t>
      </w:r>
      <w:r w:rsidRPr="0096007F">
        <w:rPr>
          <w:rFonts w:ascii="David" w:hAnsi="David" w:cs="David" w:hint="cs"/>
          <w:b/>
          <w:bCs/>
          <w:color w:val="000000"/>
          <w:rtl/>
        </w:rPr>
        <w:t>(נ/3)</w:t>
      </w:r>
      <w:r w:rsidR="00D80CE3" w:rsidRPr="0096007F">
        <w:rPr>
          <w:rFonts w:ascii="David" w:hAnsi="David" w:cs="David" w:hint="cs"/>
          <w:b/>
          <w:bCs/>
          <w:color w:val="000000"/>
          <w:rtl/>
        </w:rPr>
        <w:t xml:space="preserve"> ומפסה"ד</w:t>
      </w:r>
      <w:r w:rsidRPr="0096007F">
        <w:rPr>
          <w:rFonts w:ascii="David" w:hAnsi="David" w:cs="David" w:hint="cs"/>
          <w:color w:val="000000"/>
          <w:rtl/>
        </w:rPr>
        <w:t xml:space="preserve"> עולה בבירור ובמובהק שהש' (עמיתה) דותן לא קראה </w:t>
      </w:r>
      <w:r w:rsidR="007A6A26" w:rsidRPr="0096007F">
        <w:rPr>
          <w:rFonts w:ascii="David" w:hAnsi="David" w:cs="David" w:hint="cs"/>
          <w:color w:val="000000"/>
          <w:rtl/>
        </w:rPr>
        <w:t>אף כתב בי דין ב</w:t>
      </w:r>
      <w:r w:rsidR="004375B0" w:rsidRPr="0096007F">
        <w:rPr>
          <w:rFonts w:ascii="David" w:hAnsi="David" w:cs="David" w:hint="cs"/>
          <w:color w:val="000000"/>
          <w:rtl/>
        </w:rPr>
        <w:t>ה</w:t>
      </w:r>
      <w:r w:rsidR="007A6A26" w:rsidRPr="0096007F">
        <w:rPr>
          <w:rFonts w:ascii="David" w:hAnsi="David" w:cs="David" w:hint="cs"/>
          <w:color w:val="000000"/>
          <w:rtl/>
        </w:rPr>
        <w:t>ליך למעט</w:t>
      </w:r>
      <w:r w:rsidRPr="0096007F">
        <w:rPr>
          <w:rFonts w:ascii="David" w:hAnsi="David" w:cs="David" w:hint="cs"/>
          <w:color w:val="000000"/>
          <w:rtl/>
        </w:rPr>
        <w:t xml:space="preserve"> </w:t>
      </w:r>
      <w:r w:rsidR="00FF7C87" w:rsidRPr="0096007F">
        <w:rPr>
          <w:rFonts w:ascii="David" w:hAnsi="David" w:cs="David" w:hint="cs"/>
          <w:color w:val="000000"/>
          <w:rtl/>
        </w:rPr>
        <w:t>פ</w:t>
      </w:r>
      <w:r w:rsidRPr="0096007F">
        <w:rPr>
          <w:rFonts w:ascii="David" w:hAnsi="David" w:cs="David" w:hint="cs"/>
          <w:color w:val="000000"/>
          <w:rtl/>
        </w:rPr>
        <w:t xml:space="preserve">ס"ד </w:t>
      </w:r>
      <w:r w:rsidR="004375B0" w:rsidRPr="0096007F">
        <w:rPr>
          <w:rFonts w:ascii="David" w:hAnsi="David" w:cs="David" w:hint="cs"/>
          <w:color w:val="000000"/>
          <w:rtl/>
        </w:rPr>
        <w:t>בימ"ש</w:t>
      </w:r>
      <w:r w:rsidRPr="0096007F">
        <w:rPr>
          <w:rFonts w:ascii="David" w:hAnsi="David" w:cs="David" w:hint="cs"/>
          <w:color w:val="000000"/>
          <w:rtl/>
        </w:rPr>
        <w:t xml:space="preserve"> קמא</w:t>
      </w:r>
      <w:r w:rsidR="00FF7C87" w:rsidRPr="0096007F">
        <w:rPr>
          <w:rFonts w:ascii="David" w:hAnsi="David" w:cs="David" w:hint="cs"/>
          <w:color w:val="000000"/>
          <w:rtl/>
        </w:rPr>
        <w:t>, וכל מה שידעה היה רק מפס"ד קמא</w:t>
      </w:r>
      <w:r w:rsidRPr="0096007F">
        <w:rPr>
          <w:rFonts w:ascii="David" w:hAnsi="David" w:cs="David" w:hint="cs"/>
          <w:color w:val="000000"/>
          <w:rtl/>
        </w:rPr>
        <w:t xml:space="preserve">, </w:t>
      </w:r>
      <w:r w:rsidR="004375B0" w:rsidRPr="0096007F">
        <w:rPr>
          <w:rFonts w:ascii="David" w:hAnsi="David" w:cs="David" w:hint="cs"/>
          <w:color w:val="000000"/>
          <w:rtl/>
        </w:rPr>
        <w:t xml:space="preserve">שכן </w:t>
      </w:r>
      <w:r w:rsidRPr="0096007F">
        <w:rPr>
          <w:rFonts w:ascii="David" w:hAnsi="David" w:cs="David" w:hint="cs"/>
          <w:color w:val="000000"/>
          <w:rtl/>
        </w:rPr>
        <w:t>לא ידעה את העובדות, הטענות, הנימוקים והפסיקה שהיוו את הבסיס-של-הבסיס של הערעור, ו</w:t>
      </w:r>
      <w:r w:rsidR="004375B0" w:rsidRPr="0096007F">
        <w:rPr>
          <w:rFonts w:ascii="David" w:hAnsi="David" w:cs="David" w:hint="cs"/>
          <w:color w:val="000000"/>
          <w:rtl/>
        </w:rPr>
        <w:t xml:space="preserve">בדיון </w:t>
      </w:r>
      <w:r w:rsidRPr="0096007F">
        <w:rPr>
          <w:rFonts w:ascii="David" w:hAnsi="David" w:cs="David" w:hint="cs"/>
          <w:color w:val="000000"/>
          <w:rtl/>
        </w:rPr>
        <w:t xml:space="preserve">לא ידעה כלל על מה מדובר ונראה היה בבירור שהיא לומדת את ההליך </w:t>
      </w:r>
      <w:r w:rsidR="004375B0" w:rsidRPr="0096007F">
        <w:rPr>
          <w:rFonts w:ascii="David" w:hAnsi="David" w:cs="David" w:hint="cs"/>
          <w:color w:val="000000"/>
          <w:rtl/>
        </w:rPr>
        <w:t xml:space="preserve">רק </w:t>
      </w:r>
      <w:r w:rsidRPr="0096007F">
        <w:rPr>
          <w:rFonts w:ascii="David" w:hAnsi="David" w:cs="David" w:hint="cs"/>
          <w:color w:val="000000"/>
          <w:rtl/>
        </w:rPr>
        <w:t xml:space="preserve">בדיון </w:t>
      </w:r>
      <w:r w:rsidR="004375B0" w:rsidRPr="0096007F">
        <w:rPr>
          <w:rFonts w:ascii="David" w:hAnsi="David" w:cs="David" w:hint="cs"/>
          <w:color w:val="000000"/>
          <w:rtl/>
        </w:rPr>
        <w:t>עצמו</w:t>
      </w:r>
      <w:r w:rsidR="00FF7C87" w:rsidRPr="0096007F">
        <w:rPr>
          <w:rFonts w:ascii="David" w:hAnsi="David" w:cs="David" w:hint="cs"/>
          <w:color w:val="000000"/>
          <w:rtl/>
        </w:rPr>
        <w:t xml:space="preserve"> - </w:t>
      </w:r>
      <w:r w:rsidRPr="0096007F">
        <w:rPr>
          <w:rFonts w:ascii="David" w:hAnsi="David" w:cs="David" w:hint="cs"/>
          <w:color w:val="000000"/>
          <w:rtl/>
        </w:rPr>
        <w:t xml:space="preserve">להלן </w:t>
      </w:r>
      <w:r w:rsidRPr="0096007F">
        <w:rPr>
          <w:rFonts w:ascii="David" w:hAnsi="David" w:cs="David" w:hint="cs"/>
          <w:b/>
          <w:bCs/>
          <w:color w:val="000000"/>
          <w:rtl/>
        </w:rPr>
        <w:t>"חזקת מחדל הקריאה והבקיאות"</w:t>
      </w:r>
      <w:r w:rsidR="004375B0" w:rsidRPr="0096007F">
        <w:rPr>
          <w:rFonts w:ascii="David" w:hAnsi="David" w:cs="David" w:hint="cs"/>
          <w:b/>
          <w:bCs/>
          <w:color w:val="000000"/>
          <w:rtl/>
        </w:rPr>
        <w:t>.</w:t>
      </w:r>
    </w:p>
    <w:p w:rsidR="00E510E2" w:rsidRPr="0096007F" w:rsidRDefault="00E510E2" w:rsidP="004E68D6">
      <w:pPr>
        <w:pStyle w:val="ListParagraph"/>
        <w:widowControl w:val="0"/>
        <w:numPr>
          <w:ilvl w:val="0"/>
          <w:numId w:val="2"/>
        </w:numPr>
        <w:shd w:val="clear" w:color="auto" w:fill="FFFFFF"/>
        <w:tabs>
          <w:tab w:val="right" w:pos="8640"/>
        </w:tabs>
        <w:bidi/>
        <w:spacing w:before="120" w:line="360" w:lineRule="auto"/>
        <w:ind w:left="135" w:hanging="426"/>
        <w:contextualSpacing w:val="0"/>
        <w:jc w:val="both"/>
        <w:rPr>
          <w:rFonts w:ascii="David" w:hAnsi="David" w:cs="David"/>
          <w:color w:val="000000"/>
        </w:rPr>
      </w:pPr>
      <w:r w:rsidRPr="0096007F">
        <w:rPr>
          <w:rFonts w:ascii="David" w:hAnsi="David" w:cs="David" w:hint="cs"/>
          <w:color w:val="000000"/>
          <w:rtl/>
        </w:rPr>
        <w:t xml:space="preserve">חזקת מחדל הקריאה והבקיאות מפורטת ומוכחת בסע' 54 ובמיוחד בסע' </w:t>
      </w:r>
      <w:r w:rsidRPr="0096007F">
        <w:rPr>
          <w:rFonts w:ascii="David" w:hAnsi="David" w:cs="David" w:hint="cs"/>
          <w:b/>
          <w:bCs/>
          <w:color w:val="000000"/>
          <w:rtl/>
        </w:rPr>
        <w:t xml:space="preserve">55 לבר"ע לרבות נ/24, </w:t>
      </w:r>
      <w:r w:rsidRPr="0096007F">
        <w:rPr>
          <w:rFonts w:ascii="David" w:hAnsi="David" w:cs="David" w:hint="cs"/>
          <w:color w:val="000000"/>
          <w:rtl/>
        </w:rPr>
        <w:t xml:space="preserve">וכן בסע' </w:t>
      </w:r>
      <w:r w:rsidR="004E68D6" w:rsidRPr="0096007F">
        <w:rPr>
          <w:rFonts w:ascii="David" w:hAnsi="David" w:cs="David" w:hint="cs"/>
          <w:color w:val="000000"/>
          <w:rtl/>
        </w:rPr>
        <w:t xml:space="preserve">בסע' 19, 25, 56, </w:t>
      </w:r>
      <w:r w:rsidR="004E68D6" w:rsidRPr="0096007F">
        <w:rPr>
          <w:rFonts w:ascii="David" w:hAnsi="David" w:cs="David"/>
          <w:color w:val="000000"/>
        </w:rPr>
        <w:t>64</w:t>
      </w:r>
      <w:r w:rsidR="004E68D6" w:rsidRPr="0096007F">
        <w:rPr>
          <w:rFonts w:ascii="David" w:hAnsi="David" w:cs="David" w:hint="cs"/>
          <w:color w:val="000000"/>
          <w:rtl/>
        </w:rPr>
        <w:t xml:space="preserve">, </w:t>
      </w:r>
      <w:r w:rsidR="004E68D6" w:rsidRPr="0096007F">
        <w:rPr>
          <w:rFonts w:ascii="David" w:hAnsi="David" w:cs="David"/>
          <w:color w:val="000000"/>
        </w:rPr>
        <w:t>65</w:t>
      </w:r>
      <w:r w:rsidR="004E68D6" w:rsidRPr="0096007F">
        <w:rPr>
          <w:rFonts w:ascii="David" w:hAnsi="David" w:cs="David" w:hint="cs"/>
          <w:color w:val="000000"/>
          <w:rtl/>
        </w:rPr>
        <w:t xml:space="preserve">, </w:t>
      </w:r>
      <w:r w:rsidR="004E68D6" w:rsidRPr="0096007F">
        <w:rPr>
          <w:rFonts w:ascii="David" w:hAnsi="David" w:cs="David"/>
          <w:color w:val="000000"/>
        </w:rPr>
        <w:t>73</w:t>
      </w:r>
      <w:r w:rsidR="004E68D6" w:rsidRPr="0096007F">
        <w:rPr>
          <w:rFonts w:ascii="David" w:hAnsi="David" w:cs="David" w:hint="cs"/>
          <w:color w:val="000000"/>
          <w:rtl/>
        </w:rPr>
        <w:t xml:space="preserve">, </w:t>
      </w:r>
      <w:r w:rsidR="004E68D6" w:rsidRPr="0096007F">
        <w:rPr>
          <w:rFonts w:ascii="David" w:hAnsi="David" w:cs="David"/>
          <w:color w:val="000000"/>
        </w:rPr>
        <w:t>76</w:t>
      </w:r>
      <w:r w:rsidR="004E68D6" w:rsidRPr="0096007F">
        <w:rPr>
          <w:rFonts w:ascii="David" w:hAnsi="David" w:cs="David" w:hint="cs"/>
          <w:color w:val="000000"/>
          <w:rtl/>
        </w:rPr>
        <w:t xml:space="preserve">, </w:t>
      </w:r>
      <w:r w:rsidR="004E68D6" w:rsidRPr="0096007F">
        <w:rPr>
          <w:rFonts w:ascii="David" w:hAnsi="David" w:cs="David"/>
          <w:color w:val="000000"/>
        </w:rPr>
        <w:t>80</w:t>
      </w:r>
      <w:r w:rsidR="004E68D6" w:rsidRPr="0096007F">
        <w:rPr>
          <w:rFonts w:ascii="David" w:hAnsi="David" w:cs="David" w:hint="cs"/>
          <w:color w:val="000000"/>
          <w:rtl/>
        </w:rPr>
        <w:t xml:space="preserve">, </w:t>
      </w:r>
      <w:r w:rsidR="004E68D6" w:rsidRPr="0096007F">
        <w:rPr>
          <w:rFonts w:ascii="David" w:hAnsi="David" w:cs="David"/>
          <w:color w:val="000000"/>
        </w:rPr>
        <w:t>90</w:t>
      </w:r>
      <w:r w:rsidR="004E68D6" w:rsidRPr="0096007F">
        <w:rPr>
          <w:rFonts w:ascii="David" w:hAnsi="David" w:cs="David" w:hint="cs"/>
          <w:color w:val="000000"/>
          <w:rtl/>
        </w:rPr>
        <w:t xml:space="preserve">, </w:t>
      </w:r>
      <w:r w:rsidR="004E68D6" w:rsidRPr="0096007F">
        <w:rPr>
          <w:rFonts w:ascii="David" w:hAnsi="David" w:cs="David"/>
          <w:color w:val="000000"/>
        </w:rPr>
        <w:t>91</w:t>
      </w:r>
      <w:r w:rsidR="004E68D6" w:rsidRPr="0096007F">
        <w:rPr>
          <w:rFonts w:ascii="David" w:hAnsi="David" w:cs="David" w:hint="cs"/>
          <w:color w:val="000000"/>
          <w:rtl/>
        </w:rPr>
        <w:t xml:space="preserve">, </w:t>
      </w:r>
      <w:r w:rsidR="004E68D6" w:rsidRPr="0096007F">
        <w:rPr>
          <w:rFonts w:ascii="David" w:hAnsi="David" w:cs="David"/>
          <w:color w:val="000000"/>
        </w:rPr>
        <w:t>112</w:t>
      </w:r>
      <w:r w:rsidR="004E68D6" w:rsidRPr="0096007F">
        <w:rPr>
          <w:rFonts w:ascii="David" w:hAnsi="David" w:cs="David" w:hint="cs"/>
          <w:color w:val="000000"/>
          <w:rtl/>
        </w:rPr>
        <w:t xml:space="preserve">, </w:t>
      </w:r>
      <w:r w:rsidR="004E68D6" w:rsidRPr="0096007F">
        <w:rPr>
          <w:rFonts w:ascii="David" w:hAnsi="David" w:cs="David"/>
          <w:color w:val="000000"/>
        </w:rPr>
        <w:t>113</w:t>
      </w:r>
      <w:r w:rsidR="004E68D6" w:rsidRPr="0096007F">
        <w:rPr>
          <w:rFonts w:ascii="David" w:hAnsi="David" w:cs="David" w:hint="cs"/>
          <w:color w:val="000000"/>
          <w:rtl/>
        </w:rPr>
        <w:t xml:space="preserve">, </w:t>
      </w:r>
      <w:r w:rsidR="004E68D6" w:rsidRPr="0096007F">
        <w:rPr>
          <w:rFonts w:ascii="David" w:hAnsi="David" w:cs="David"/>
          <w:color w:val="000000"/>
        </w:rPr>
        <w:t>114</w:t>
      </w:r>
      <w:r w:rsidR="004E68D6" w:rsidRPr="0096007F">
        <w:rPr>
          <w:rFonts w:ascii="David" w:hAnsi="David" w:cs="David" w:hint="cs"/>
          <w:color w:val="000000"/>
          <w:rtl/>
        </w:rPr>
        <w:t>, 119-134</w:t>
      </w:r>
      <w:r w:rsidRPr="0096007F">
        <w:rPr>
          <w:rFonts w:ascii="David" w:hAnsi="David" w:cs="David" w:hint="cs"/>
          <w:color w:val="000000"/>
          <w:rtl/>
        </w:rPr>
        <w:t xml:space="preserve"> (ויש עוד)</w:t>
      </w:r>
      <w:r w:rsidR="007A6A26" w:rsidRPr="0096007F">
        <w:rPr>
          <w:rFonts w:ascii="David" w:hAnsi="David" w:cs="David" w:hint="cs"/>
          <w:color w:val="000000"/>
          <w:rtl/>
        </w:rPr>
        <w:t>, וכן נתמכת בנימוק</w:t>
      </w:r>
      <w:r w:rsidR="005B0CB6" w:rsidRPr="0096007F">
        <w:rPr>
          <w:rFonts w:ascii="David" w:hAnsi="David" w:cs="David" w:hint="cs"/>
          <w:color w:val="000000"/>
          <w:rtl/>
        </w:rPr>
        <w:t>י</w:t>
      </w:r>
      <w:r w:rsidR="007A6A26" w:rsidRPr="0096007F">
        <w:rPr>
          <w:rFonts w:ascii="David" w:hAnsi="David" w:cs="David" w:hint="cs"/>
          <w:color w:val="000000"/>
          <w:rtl/>
        </w:rPr>
        <w:t xml:space="preserve">י </w:t>
      </w:r>
      <w:r w:rsidR="005B0CB6" w:rsidRPr="0096007F">
        <w:rPr>
          <w:rFonts w:ascii="David" w:hAnsi="David" w:cs="David" w:hint="cs"/>
          <w:color w:val="000000"/>
          <w:rtl/>
        </w:rPr>
        <w:t>ש</w:t>
      </w:r>
      <w:r w:rsidR="007A6A26" w:rsidRPr="0096007F">
        <w:rPr>
          <w:rFonts w:ascii="David" w:hAnsi="David" w:cs="David" w:hint="cs"/>
          <w:color w:val="000000"/>
          <w:rtl/>
        </w:rPr>
        <w:t>להלן.</w:t>
      </w:r>
    </w:p>
    <w:p w:rsidR="00FF7C87" w:rsidRPr="0096007F" w:rsidRDefault="00E510E2" w:rsidP="00D94F55">
      <w:pPr>
        <w:pStyle w:val="ListParagraph"/>
        <w:widowControl w:val="0"/>
        <w:numPr>
          <w:ilvl w:val="0"/>
          <w:numId w:val="2"/>
        </w:numPr>
        <w:shd w:val="clear" w:color="auto" w:fill="FFFFFF"/>
        <w:tabs>
          <w:tab w:val="right" w:pos="8640"/>
        </w:tabs>
        <w:bidi/>
        <w:spacing w:before="120" w:line="360" w:lineRule="auto"/>
        <w:ind w:left="135" w:hanging="426"/>
        <w:contextualSpacing w:val="0"/>
        <w:jc w:val="both"/>
        <w:rPr>
          <w:rFonts w:ascii="David" w:hAnsi="David" w:cs="David"/>
          <w:color w:val="000000"/>
        </w:rPr>
      </w:pPr>
      <w:r w:rsidRPr="0096007F">
        <w:rPr>
          <w:rFonts w:ascii="David" w:hAnsi="David" w:cs="David" w:hint="cs"/>
          <w:color w:val="000000"/>
          <w:rtl/>
        </w:rPr>
        <w:t xml:space="preserve">למשל, הש' (עמיתה) דותן לא ידעה בכלל </w:t>
      </w:r>
      <w:r w:rsidRPr="0096007F">
        <w:rPr>
          <w:rFonts w:ascii="David" w:hAnsi="David" w:cs="David" w:hint="cs"/>
          <w:b/>
          <w:bCs/>
          <w:color w:val="000000"/>
          <w:rtl/>
        </w:rPr>
        <w:t>על</w:t>
      </w:r>
      <w:r w:rsidRPr="0096007F">
        <w:rPr>
          <w:rFonts w:ascii="David" w:hAnsi="David" w:cs="David" w:hint="cs"/>
          <w:color w:val="000000"/>
          <w:rtl/>
        </w:rPr>
        <w:t xml:space="preserve"> הפסיקה שציטטתי בהרחבה בכתב הערעור ובעיקרי הטיעון</w:t>
      </w:r>
      <w:r w:rsidR="004375B0" w:rsidRPr="0096007F">
        <w:rPr>
          <w:rFonts w:ascii="David" w:hAnsi="David" w:cs="David" w:hint="cs"/>
          <w:color w:val="000000"/>
          <w:rtl/>
        </w:rPr>
        <w:t>,</w:t>
      </w:r>
      <w:r w:rsidRPr="0096007F">
        <w:rPr>
          <w:rFonts w:ascii="David" w:hAnsi="David" w:cs="David" w:hint="cs"/>
          <w:color w:val="000000"/>
          <w:rtl/>
        </w:rPr>
        <w:t xml:space="preserve"> </w:t>
      </w:r>
      <w:r w:rsidRPr="0096007F">
        <w:rPr>
          <w:rFonts w:ascii="David" w:hAnsi="David" w:cs="David" w:hint="cs"/>
          <w:b/>
          <w:bCs/>
          <w:color w:val="000000"/>
          <w:u w:val="single"/>
          <w:rtl/>
        </w:rPr>
        <w:t>כולל בדיון עצמו</w:t>
      </w:r>
      <w:r w:rsidRPr="0096007F">
        <w:rPr>
          <w:rFonts w:ascii="David" w:hAnsi="David" w:cs="David" w:hint="cs"/>
          <w:color w:val="000000"/>
          <w:rtl/>
        </w:rPr>
        <w:t xml:space="preserve">, פס"ד גוטליב ופס"ד חברת חשמל, ושהיו </w:t>
      </w:r>
      <w:r w:rsidRPr="0096007F">
        <w:rPr>
          <w:rFonts w:ascii="David" w:hAnsi="David" w:cs="David" w:hint="cs"/>
          <w:b/>
          <w:bCs/>
          <w:color w:val="000000"/>
          <w:u w:val="single"/>
          <w:rtl/>
        </w:rPr>
        <w:t>מאבני היסוד של הערעור</w:t>
      </w:r>
      <w:r w:rsidRPr="0096007F">
        <w:rPr>
          <w:rFonts w:ascii="David" w:hAnsi="David" w:cs="David" w:hint="cs"/>
          <w:color w:val="000000"/>
          <w:rtl/>
        </w:rPr>
        <w:t xml:space="preserve">, </w:t>
      </w:r>
      <w:r w:rsidR="00FF7C87" w:rsidRPr="0096007F">
        <w:rPr>
          <w:rFonts w:ascii="David" w:hAnsi="David" w:cs="David" w:hint="cs"/>
          <w:color w:val="000000"/>
          <w:rtl/>
        </w:rPr>
        <w:t>ואפילו עו"ד טננבוים, ב"כ משיב 9, התקשר אלי זמן קצר לאחר שחזרתי מהדיון ואמר לי שה</w:t>
      </w:r>
      <w:r w:rsidR="005B0CB6" w:rsidRPr="0096007F">
        <w:rPr>
          <w:rFonts w:ascii="David" w:hAnsi="David" w:cs="David" w:hint="cs"/>
          <w:color w:val="000000"/>
          <w:rtl/>
        </w:rPr>
        <w:t xml:space="preserve">ש' דותן </w:t>
      </w:r>
      <w:r w:rsidR="00FF7C87" w:rsidRPr="0096007F">
        <w:rPr>
          <w:rFonts w:ascii="David" w:hAnsi="David" w:cs="David" w:hint="cs"/>
          <w:color w:val="000000"/>
          <w:rtl/>
        </w:rPr>
        <w:t xml:space="preserve">לא קראה את פס"ד גוטליב וכי יש צדק בדבריי. ראו תצהירי </w:t>
      </w:r>
      <w:r w:rsidR="00FF7C87" w:rsidRPr="0096007F">
        <w:rPr>
          <w:rFonts w:ascii="David" w:hAnsi="David" w:cs="David" w:hint="cs"/>
          <w:b/>
          <w:bCs/>
          <w:color w:val="000000"/>
          <w:rtl/>
        </w:rPr>
        <w:t>נ/24</w:t>
      </w:r>
      <w:r w:rsidR="00FF7C87" w:rsidRPr="0096007F">
        <w:rPr>
          <w:rFonts w:ascii="David" w:hAnsi="David" w:cs="David" w:hint="cs"/>
          <w:color w:val="000000"/>
          <w:rtl/>
        </w:rPr>
        <w:t xml:space="preserve">. </w:t>
      </w:r>
    </w:p>
    <w:p w:rsidR="004375B0" w:rsidRPr="0096007F" w:rsidRDefault="00FF7C87" w:rsidP="00D94F55">
      <w:pPr>
        <w:pStyle w:val="ListParagraph"/>
        <w:widowControl w:val="0"/>
        <w:numPr>
          <w:ilvl w:val="0"/>
          <w:numId w:val="2"/>
        </w:numPr>
        <w:shd w:val="clear" w:color="auto" w:fill="FFFFFF"/>
        <w:tabs>
          <w:tab w:val="right" w:pos="8640"/>
        </w:tabs>
        <w:bidi/>
        <w:spacing w:before="120" w:line="360" w:lineRule="auto"/>
        <w:ind w:left="91" w:hanging="382"/>
        <w:contextualSpacing w:val="0"/>
        <w:jc w:val="both"/>
        <w:rPr>
          <w:rFonts w:ascii="David" w:hAnsi="David" w:cs="David"/>
          <w:color w:val="000000"/>
        </w:rPr>
      </w:pPr>
      <w:r w:rsidRPr="0096007F">
        <w:rPr>
          <w:rFonts w:ascii="David" w:hAnsi="David" w:cs="David" w:hint="cs"/>
          <w:color w:val="000000"/>
          <w:rtl/>
        </w:rPr>
        <w:t xml:space="preserve">כב' הש' (עמיתה) דותן </w:t>
      </w:r>
      <w:r w:rsidR="00E510E2" w:rsidRPr="0096007F">
        <w:rPr>
          <w:rFonts w:ascii="David" w:hAnsi="David" w:cs="David" w:hint="cs"/>
          <w:color w:val="000000"/>
          <w:rtl/>
        </w:rPr>
        <w:t xml:space="preserve">גם לא </w:t>
      </w:r>
      <w:r w:rsidRPr="0096007F">
        <w:rPr>
          <w:rFonts w:ascii="David" w:hAnsi="David" w:cs="David" w:hint="cs"/>
          <w:color w:val="000000"/>
          <w:rtl/>
        </w:rPr>
        <w:t xml:space="preserve">ידעה כלל על </w:t>
      </w:r>
      <w:r w:rsidR="00E510E2" w:rsidRPr="0096007F">
        <w:rPr>
          <w:rFonts w:ascii="David" w:hAnsi="David" w:cs="David" w:hint="cs"/>
          <w:color w:val="000000"/>
          <w:rtl/>
        </w:rPr>
        <w:t>תקן 1004 (ראו פרק "</w:t>
      </w:r>
      <w:r w:rsidR="00E510E2" w:rsidRPr="0096007F">
        <w:rPr>
          <w:rFonts w:ascii="David" w:hAnsi="David" w:cs="David" w:hint="cs"/>
          <w:b/>
          <w:bCs/>
          <w:rtl/>
        </w:rPr>
        <w:t>דין והפרקטיקה למדידת רעש מעלית ותקן 1004 חלק 3, בידוד אקוסטי בבנייני מגורים: רעש ממעליות"</w:t>
      </w:r>
      <w:r w:rsidR="00E510E2" w:rsidRPr="0096007F">
        <w:rPr>
          <w:rFonts w:ascii="David" w:hAnsi="David" w:cs="David" w:hint="cs"/>
          <w:rtl/>
        </w:rPr>
        <w:t xml:space="preserve"> סע' 40-49)</w:t>
      </w:r>
      <w:r w:rsidR="00E510E2" w:rsidRPr="0096007F">
        <w:rPr>
          <w:rFonts w:ascii="David" w:hAnsi="David" w:cs="David" w:hint="cs"/>
          <w:color w:val="000000"/>
          <w:rtl/>
        </w:rPr>
        <w:t>, שגם הוא בבסיס הערעור</w:t>
      </w:r>
      <w:r w:rsidRPr="0096007F">
        <w:rPr>
          <w:rFonts w:ascii="David" w:hAnsi="David" w:cs="David" w:hint="cs"/>
          <w:color w:val="000000"/>
          <w:rtl/>
        </w:rPr>
        <w:t xml:space="preserve">, </w:t>
      </w:r>
      <w:r w:rsidR="00E510E2" w:rsidRPr="0096007F">
        <w:rPr>
          <w:rFonts w:ascii="David" w:hAnsi="David" w:cs="David" w:hint="cs"/>
          <w:color w:val="000000"/>
          <w:rtl/>
        </w:rPr>
        <w:t xml:space="preserve"> ושאלה שאלות כל כך בסיסות </w:t>
      </w:r>
      <w:r w:rsidR="00E510E2" w:rsidRPr="0096007F">
        <w:rPr>
          <w:rFonts w:ascii="David" w:hAnsi="David" w:cs="David" w:hint="cs"/>
          <w:b/>
          <w:bCs/>
          <w:color w:val="000000"/>
          <w:rtl/>
        </w:rPr>
        <w:t>(נ/3)</w:t>
      </w:r>
      <w:r w:rsidR="00E510E2" w:rsidRPr="0096007F">
        <w:rPr>
          <w:rFonts w:ascii="David" w:hAnsi="David" w:cs="David" w:hint="cs"/>
          <w:color w:val="000000"/>
          <w:rtl/>
        </w:rPr>
        <w:t xml:space="preserve"> שהתשובות להן הן הבסיס-של-הבסיס של כתב הערעור ועיקרי הטיעון  ומופיעות בהן </w:t>
      </w:r>
      <w:r w:rsidR="00E510E2" w:rsidRPr="0096007F">
        <w:rPr>
          <w:rFonts w:ascii="David" w:hAnsi="David" w:cs="David" w:hint="cs"/>
          <w:b/>
          <w:bCs/>
          <w:color w:val="000000"/>
          <w:u w:val="single"/>
          <w:rtl/>
        </w:rPr>
        <w:t xml:space="preserve">מספר פעמים </w:t>
      </w:r>
      <w:r w:rsidR="00E510E2" w:rsidRPr="0096007F">
        <w:rPr>
          <w:rFonts w:ascii="David" w:hAnsi="David" w:cs="David" w:hint="cs"/>
          <w:color w:val="000000"/>
          <w:rtl/>
        </w:rPr>
        <w:t xml:space="preserve">(קראו את סע' 55 לבר"ע), ונראה בבירור שהיא לומדת את הערעור בדיון, ממש כמו את ע"ר 50439-04-19 </w:t>
      </w:r>
      <w:r w:rsidR="00E510E2" w:rsidRPr="0096007F">
        <w:rPr>
          <w:rFonts w:ascii="David" w:hAnsi="David" w:cs="David" w:hint="cs"/>
          <w:b/>
          <w:bCs/>
          <w:color w:val="000000"/>
          <w:rtl/>
        </w:rPr>
        <w:t>קירשנבאום נ' נציגות הבית בזל 43 ת"א ואח'</w:t>
      </w:r>
      <w:r w:rsidR="00E510E2" w:rsidRPr="0096007F">
        <w:rPr>
          <w:rFonts w:ascii="David" w:hAnsi="David" w:cs="David" w:hint="cs"/>
          <w:color w:val="000000"/>
          <w:rtl/>
        </w:rPr>
        <w:t xml:space="preserve"> </w:t>
      </w:r>
      <w:r w:rsidR="00E510E2" w:rsidRPr="0096007F">
        <w:rPr>
          <w:rFonts w:ascii="David" w:hAnsi="David" w:cs="David" w:hint="cs"/>
          <w:b/>
          <w:bCs/>
          <w:color w:val="000000"/>
          <w:rtl/>
        </w:rPr>
        <w:t>(</w:t>
      </w:r>
      <w:r w:rsidR="005B0CB6" w:rsidRPr="0096007F">
        <w:rPr>
          <w:rFonts w:ascii="David" w:hAnsi="David" w:cs="David" w:hint="cs"/>
          <w:b/>
          <w:bCs/>
          <w:color w:val="000000"/>
          <w:rtl/>
        </w:rPr>
        <w:t xml:space="preserve">ראו </w:t>
      </w:r>
      <w:r w:rsidR="00E510E2" w:rsidRPr="0096007F">
        <w:rPr>
          <w:rFonts w:ascii="David" w:hAnsi="David" w:cs="David" w:hint="cs"/>
          <w:b/>
          <w:bCs/>
          <w:color w:val="000000"/>
          <w:rtl/>
        </w:rPr>
        <w:t>נ/25)</w:t>
      </w:r>
      <w:r w:rsidR="004375B0" w:rsidRPr="0096007F">
        <w:rPr>
          <w:rFonts w:ascii="David" w:hAnsi="David" w:cs="David" w:hint="cs"/>
          <w:b/>
          <w:bCs/>
          <w:color w:val="000000"/>
          <w:rtl/>
        </w:rPr>
        <w:t>.</w:t>
      </w:r>
    </w:p>
    <w:p w:rsidR="003040CC" w:rsidRPr="0096007F" w:rsidRDefault="003040CC" w:rsidP="00D94F55">
      <w:pPr>
        <w:pStyle w:val="ListParagraph"/>
        <w:widowControl w:val="0"/>
        <w:numPr>
          <w:ilvl w:val="0"/>
          <w:numId w:val="2"/>
        </w:numPr>
        <w:shd w:val="clear" w:color="auto" w:fill="FFFFFF"/>
        <w:tabs>
          <w:tab w:val="right" w:pos="8640"/>
        </w:tabs>
        <w:bidi/>
        <w:spacing w:before="120" w:line="360" w:lineRule="auto"/>
        <w:ind w:left="91" w:hanging="382"/>
        <w:contextualSpacing w:val="0"/>
        <w:jc w:val="both"/>
        <w:rPr>
          <w:rFonts w:ascii="David" w:hAnsi="David" w:cs="David"/>
          <w:color w:val="000000"/>
        </w:rPr>
      </w:pPr>
      <w:r w:rsidRPr="0096007F">
        <w:rPr>
          <w:rFonts w:ascii="David" w:hAnsi="David" w:cs="David" w:hint="cs"/>
          <w:color w:val="000000"/>
          <w:rtl/>
        </w:rPr>
        <w:t>אפילו בחלק בפסה"ד שנוגע בבקשה ובבקשה הנוספת חסר כל בסיס עובדתי המראה בבירור שלא קראה את הבקשה ולא עברה על הראיות הנוספות ותיק המוצגים, למרות שנתנה החלטה בדיון שכל קראה, כשהדבר לא נכון בעליל לאור תוכן פסק הדין.</w:t>
      </w:r>
    </w:p>
    <w:p w:rsidR="00677F62" w:rsidRPr="0096007F" w:rsidRDefault="003040CC" w:rsidP="00D94F55">
      <w:pPr>
        <w:pStyle w:val="ListParagraph"/>
        <w:widowControl w:val="0"/>
        <w:numPr>
          <w:ilvl w:val="0"/>
          <w:numId w:val="2"/>
        </w:numPr>
        <w:shd w:val="clear" w:color="auto" w:fill="FFFFFF"/>
        <w:tabs>
          <w:tab w:val="right" w:pos="8640"/>
        </w:tabs>
        <w:bidi/>
        <w:spacing w:before="120" w:line="360" w:lineRule="auto"/>
        <w:ind w:left="91" w:hanging="382"/>
        <w:contextualSpacing w:val="0"/>
        <w:jc w:val="both"/>
        <w:rPr>
          <w:rFonts w:ascii="David" w:hAnsi="David" w:cs="David"/>
          <w:color w:val="000000"/>
        </w:rPr>
      </w:pPr>
      <w:r w:rsidRPr="0096007F">
        <w:rPr>
          <w:rFonts w:ascii="David" w:hAnsi="David" w:cs="David" w:hint="cs"/>
          <w:color w:val="000000"/>
          <w:rtl/>
        </w:rPr>
        <w:lastRenderedPageBreak/>
        <w:t>למשל, אין יכלה לטעון ש</w:t>
      </w:r>
      <w:r w:rsidR="002A65B0" w:rsidRPr="0096007F">
        <w:rPr>
          <w:rFonts w:ascii="David" w:hAnsi="David" w:cs="David" w:hint="cs"/>
          <w:color w:val="000000"/>
          <w:rtl/>
        </w:rPr>
        <w:t>"ה</w:t>
      </w:r>
      <w:r w:rsidRPr="0096007F">
        <w:rPr>
          <w:rFonts w:ascii="David" w:hAnsi="David" w:cs="David" w:hint="cs"/>
          <w:color w:val="000000"/>
          <w:rtl/>
        </w:rPr>
        <w:t xml:space="preserve">עדתי ופרשתי את משנתי בהרחבה" </w:t>
      </w:r>
      <w:r w:rsidR="002A65B0" w:rsidRPr="0096007F">
        <w:rPr>
          <w:rFonts w:ascii="David" w:hAnsi="David" w:cs="David" w:hint="cs"/>
          <w:color w:val="000000"/>
          <w:rtl/>
        </w:rPr>
        <w:t xml:space="preserve">(פסה"ד, עמ' 2 ש' 13) </w:t>
      </w:r>
      <w:r w:rsidRPr="0096007F">
        <w:rPr>
          <w:rFonts w:ascii="David" w:hAnsi="David" w:cs="David" w:hint="cs"/>
          <w:color w:val="000000"/>
          <w:rtl/>
        </w:rPr>
        <w:t xml:space="preserve">כשהפרוטוקול </w:t>
      </w:r>
      <w:r w:rsidR="002A65B0" w:rsidRPr="0096007F">
        <w:rPr>
          <w:rFonts w:ascii="David" w:hAnsi="David" w:cs="David" w:hint="cs"/>
          <w:color w:val="000000"/>
          <w:rtl/>
        </w:rPr>
        <w:t xml:space="preserve">דיון ההוכחות </w:t>
      </w:r>
      <w:r w:rsidRPr="0096007F">
        <w:rPr>
          <w:rFonts w:ascii="David" w:hAnsi="David" w:cs="David" w:hint="cs"/>
          <w:color w:val="000000"/>
          <w:rtl/>
        </w:rPr>
        <w:t>(</w:t>
      </w:r>
      <w:r w:rsidR="002A65B0" w:rsidRPr="0096007F">
        <w:rPr>
          <w:rFonts w:ascii="David" w:hAnsi="David" w:cs="David" w:hint="cs"/>
          <w:color w:val="000000"/>
          <w:rtl/>
        </w:rPr>
        <w:t>דוגמאות למניעה ממני להעיד - נ/10-נ/7</w:t>
      </w:r>
      <w:r w:rsidRPr="0096007F">
        <w:rPr>
          <w:rFonts w:ascii="David" w:hAnsi="David" w:cs="David" w:hint="cs"/>
          <w:color w:val="000000"/>
          <w:rtl/>
        </w:rPr>
        <w:t xml:space="preserve">) ונימוקיי הכתב הערעור </w:t>
      </w:r>
      <w:r w:rsidR="002A65B0" w:rsidRPr="0096007F">
        <w:rPr>
          <w:rFonts w:ascii="David" w:hAnsi="David" w:cs="David" w:hint="cs"/>
          <w:color w:val="000000"/>
          <w:rtl/>
        </w:rPr>
        <w:t xml:space="preserve">מראים ומוכיחים הפוך, </w:t>
      </w:r>
      <w:r w:rsidR="00677F62" w:rsidRPr="0096007F">
        <w:rPr>
          <w:rFonts w:ascii="David" w:hAnsi="David" w:cs="David" w:hint="cs"/>
          <w:color w:val="000000"/>
          <w:rtl/>
        </w:rPr>
        <w:t>או, לא הייתה קוראת את הבקשה ועוברת על הראיות כהוראות הדין כדי לבחון אם יש בהם להשפיע על פס"ד קמא, הייתה יודעת שאני זה שהקלטתי וצילמתי, ולכן אין כל צורך להביא את מי שהקליט וצילם כעד, וכי הוגשו כל חוות הדעת כדין למהימנות ההקלטות וההמרות, וכי הנתבעים ויתרו על העדת המומחים מטעמי, ולא הייתה קוראת הייתה יודעת שראיות רבות הובאו כראיה לקיומם ולא כראיה לתוכנם, ולכן כל טענות הש' (עמיתה) דותן הפוכות לאמת וחסרות כל בסיס עובדתי ומשפטי, וכל הפרק בפסה"ד בעניין הראיות הנוספות חסר כל הנמקה לגופן של טענותיי ונימוקיי</w:t>
      </w:r>
      <w:r w:rsidR="00945484" w:rsidRPr="0096007F">
        <w:rPr>
          <w:rFonts w:ascii="David" w:hAnsi="David" w:cs="David" w:hint="cs"/>
          <w:color w:val="000000"/>
          <w:rtl/>
        </w:rPr>
        <w:t>,</w:t>
      </w:r>
      <w:r w:rsidR="00677F62" w:rsidRPr="0096007F">
        <w:rPr>
          <w:rFonts w:ascii="David" w:hAnsi="David" w:cs="David" w:hint="cs"/>
          <w:color w:val="000000"/>
          <w:rtl/>
        </w:rPr>
        <w:t xml:space="preserve"> ומהוו</w:t>
      </w:r>
      <w:r w:rsidR="00945484" w:rsidRPr="0096007F">
        <w:rPr>
          <w:rFonts w:ascii="David" w:hAnsi="David" w:cs="David" w:hint="cs"/>
          <w:color w:val="000000"/>
          <w:rtl/>
        </w:rPr>
        <w:t>ה</w:t>
      </w:r>
      <w:r w:rsidR="00677F62" w:rsidRPr="0096007F">
        <w:rPr>
          <w:rFonts w:ascii="David" w:hAnsi="David" w:cs="David" w:hint="cs"/>
          <w:color w:val="000000"/>
          <w:rtl/>
        </w:rPr>
        <w:t xml:space="preserve"> ק</w:t>
      </w:r>
      <w:r w:rsidR="00945484" w:rsidRPr="0096007F">
        <w:rPr>
          <w:rFonts w:ascii="David" w:hAnsi="David" w:cs="David" w:hint="cs"/>
          <w:color w:val="000000"/>
          <w:rtl/>
        </w:rPr>
        <w:t xml:space="preserve">ביעות ללא כל נימוק ודינם להתבטל, שכן </w:t>
      </w:r>
      <w:r w:rsidR="00945484" w:rsidRPr="0096007F">
        <w:rPr>
          <w:rFonts w:ascii="David" w:hAnsi="David" w:cs="David"/>
          <w:rtl/>
        </w:rPr>
        <w:t>יש להבחין בין</w:t>
      </w:r>
      <w:r w:rsidR="00945484" w:rsidRPr="0096007F">
        <w:rPr>
          <w:rFonts w:ascii="David" w:hAnsi="David" w:cs="David"/>
          <w:b/>
          <w:bCs/>
          <w:u w:val="single"/>
          <w:rtl/>
        </w:rPr>
        <w:t xml:space="preserve"> "נימוק"</w:t>
      </w:r>
      <w:r w:rsidR="00945484" w:rsidRPr="0096007F">
        <w:rPr>
          <w:rFonts w:ascii="David" w:hAnsi="David" w:cs="David"/>
          <w:rtl/>
        </w:rPr>
        <w:t xml:space="preserve"> לבין </w:t>
      </w:r>
      <w:r w:rsidR="00945484" w:rsidRPr="0096007F">
        <w:rPr>
          <w:rFonts w:ascii="David" w:hAnsi="David" w:cs="David"/>
          <w:b/>
          <w:bCs/>
          <w:u w:val="single"/>
          <w:rtl/>
        </w:rPr>
        <w:t>"קביעה ללא נימוק"</w:t>
      </w:r>
      <w:r w:rsidR="00945484" w:rsidRPr="0096007F">
        <w:rPr>
          <w:rFonts w:ascii="David" w:hAnsi="David" w:cs="David"/>
          <w:rtl/>
        </w:rPr>
        <w:t xml:space="preserve"> </w:t>
      </w:r>
      <w:r w:rsidR="00945484" w:rsidRPr="0096007F">
        <w:rPr>
          <w:rFonts w:ascii="David" w:hAnsi="David" w:cs="David"/>
          <w:color w:val="000000"/>
          <w:rtl/>
        </w:rPr>
        <w:t xml:space="preserve">שאיננה מנומקת </w:t>
      </w:r>
      <w:r w:rsidR="00945484" w:rsidRPr="0096007F">
        <w:rPr>
          <w:rFonts w:ascii="David" w:hAnsi="David" w:cs="David" w:hint="cs"/>
          <w:color w:val="000000"/>
          <w:rtl/>
        </w:rPr>
        <w:t>כ</w:t>
      </w:r>
      <w:r w:rsidR="00945484" w:rsidRPr="0096007F">
        <w:rPr>
          <w:rFonts w:ascii="David" w:hAnsi="David" w:cs="David"/>
          <w:color w:val="000000"/>
          <w:rtl/>
        </w:rPr>
        <w:t>מחויב וכנדרש ע"פ דין, ו</w:t>
      </w:r>
      <w:r w:rsidR="00945484" w:rsidRPr="0096007F">
        <w:rPr>
          <w:rFonts w:ascii="David" w:hAnsi="David" w:cs="David"/>
          <w:rtl/>
        </w:rPr>
        <w:t xml:space="preserve">דינה להתבטל, </w:t>
      </w:r>
      <w:r w:rsidR="00945484" w:rsidRPr="0096007F">
        <w:rPr>
          <w:rFonts w:ascii="David" w:hAnsi="David" w:cs="David" w:hint="cs"/>
          <w:rtl/>
        </w:rPr>
        <w:t>(</w:t>
      </w:r>
      <w:r w:rsidR="00945484" w:rsidRPr="0096007F">
        <w:rPr>
          <w:rFonts w:ascii="David" w:hAnsi="David" w:cs="David"/>
          <w:color w:val="000000"/>
          <w:rtl/>
        </w:rPr>
        <w:t xml:space="preserve">ע"א (נצ') </w:t>
      </w:r>
      <w:r w:rsidR="00945484" w:rsidRPr="0096007F">
        <w:rPr>
          <w:rFonts w:ascii="David" w:hAnsi="David" w:cs="David"/>
          <w:color w:val="000000"/>
        </w:rPr>
        <w:t>27</w:t>
      </w:r>
      <w:r w:rsidR="00945484" w:rsidRPr="0096007F">
        <w:rPr>
          <w:rFonts w:ascii="David" w:hAnsi="David" w:cs="David"/>
          <w:color w:val="000000"/>
          <w:rtl/>
        </w:rPr>
        <w:t>/</w:t>
      </w:r>
      <w:r w:rsidR="00945484" w:rsidRPr="0096007F">
        <w:rPr>
          <w:rFonts w:ascii="David" w:hAnsi="David" w:cs="David"/>
          <w:color w:val="000000"/>
        </w:rPr>
        <w:t>08</w:t>
      </w:r>
      <w:r w:rsidR="00945484" w:rsidRPr="0096007F">
        <w:rPr>
          <w:rFonts w:ascii="David" w:hAnsi="David" w:cs="David"/>
          <w:color w:val="000000"/>
          <w:rtl/>
        </w:rPr>
        <w:t xml:space="preserve"> </w:t>
      </w:r>
      <w:r w:rsidR="00945484" w:rsidRPr="0096007F">
        <w:rPr>
          <w:rFonts w:ascii="David" w:hAnsi="David" w:cs="David"/>
          <w:b/>
          <w:bCs/>
          <w:color w:val="000000"/>
          <w:rtl/>
        </w:rPr>
        <w:t>גדעון ר</w:t>
      </w:r>
      <w:r w:rsidR="00945484" w:rsidRPr="0096007F">
        <w:rPr>
          <w:rFonts w:ascii="David" w:hAnsi="David" w:cs="David" w:hint="cs"/>
          <w:b/>
          <w:bCs/>
          <w:color w:val="000000"/>
          <w:rtl/>
        </w:rPr>
        <w:t>ו</w:t>
      </w:r>
      <w:r w:rsidR="00945484" w:rsidRPr="0096007F">
        <w:rPr>
          <w:rFonts w:ascii="David" w:hAnsi="David" w:cs="David"/>
          <w:b/>
          <w:bCs/>
          <w:color w:val="000000"/>
          <w:rtl/>
        </w:rPr>
        <w:t>וה נ' בנק הפועלים,</w:t>
      </w:r>
      <w:r w:rsidR="00945484" w:rsidRPr="0096007F">
        <w:rPr>
          <w:rFonts w:ascii="David" w:hAnsi="David" w:cs="David"/>
          <w:color w:val="000000"/>
          <w:rtl/>
        </w:rPr>
        <w:t xml:space="preserve"> עמ' </w:t>
      </w:r>
      <w:r w:rsidR="00945484" w:rsidRPr="0096007F">
        <w:rPr>
          <w:rFonts w:ascii="David" w:hAnsi="David" w:cs="David"/>
          <w:color w:val="000000"/>
        </w:rPr>
        <w:t>10</w:t>
      </w:r>
      <w:r w:rsidR="00945484" w:rsidRPr="0096007F">
        <w:rPr>
          <w:rFonts w:ascii="David" w:hAnsi="David" w:cs="David"/>
          <w:color w:val="000000"/>
          <w:rtl/>
        </w:rPr>
        <w:t xml:space="preserve">, להלן: </w:t>
      </w:r>
      <w:r w:rsidR="00945484" w:rsidRPr="0096007F">
        <w:rPr>
          <w:rFonts w:ascii="David" w:hAnsi="David" w:cs="David"/>
          <w:b/>
          <w:bCs/>
          <w:color w:val="000000"/>
          <w:rtl/>
        </w:rPr>
        <w:t>פס"ד גדעון רווה)</w:t>
      </w:r>
      <w:r w:rsidR="00945484" w:rsidRPr="0096007F">
        <w:rPr>
          <w:rFonts w:ascii="David" w:hAnsi="David" w:cs="David"/>
          <w:rtl/>
        </w:rPr>
        <w:t>.</w:t>
      </w:r>
    </w:p>
    <w:p w:rsidR="00E545FA" w:rsidRPr="0096007F" w:rsidRDefault="00E545FA" w:rsidP="00D94F55">
      <w:pPr>
        <w:pStyle w:val="ListParagraph"/>
        <w:widowControl w:val="0"/>
        <w:numPr>
          <w:ilvl w:val="0"/>
          <w:numId w:val="2"/>
        </w:numPr>
        <w:shd w:val="clear" w:color="auto" w:fill="FFFFFF"/>
        <w:tabs>
          <w:tab w:val="right" w:pos="8640"/>
        </w:tabs>
        <w:bidi/>
        <w:spacing w:before="120" w:line="360" w:lineRule="auto"/>
        <w:ind w:left="91" w:hanging="382"/>
        <w:contextualSpacing w:val="0"/>
        <w:jc w:val="both"/>
        <w:rPr>
          <w:rFonts w:ascii="David" w:hAnsi="David" w:cs="David"/>
          <w:color w:val="000000"/>
        </w:rPr>
      </w:pPr>
      <w:r w:rsidRPr="0096007F">
        <w:rPr>
          <w:rFonts w:ascii="David" w:hAnsi="David" w:cs="David" w:hint="cs"/>
          <w:rtl/>
        </w:rPr>
        <w:t>"</w:t>
      </w:r>
      <w:r w:rsidRPr="0096007F">
        <w:rPr>
          <w:rFonts w:ascii="David" w:hAnsi="David" w:cs="David"/>
          <w:b/>
          <w:bCs/>
          <w:rtl/>
        </w:rPr>
        <w:t>וכבר נפסק לא אחת, כי ההנמקה הינה חלק מהותי ובלתי נפרד מפסק הדין. העדר הנמקה עשוי לשמש עילה לביטול פסק דין</w:t>
      </w:r>
      <w:r w:rsidRPr="0096007F">
        <w:rPr>
          <w:rFonts w:ascii="David" w:hAnsi="David" w:cs="David" w:hint="cs"/>
          <w:b/>
          <w:bCs/>
          <w:rtl/>
        </w:rPr>
        <w:t>" (</w:t>
      </w:r>
      <w:r w:rsidRPr="0096007F">
        <w:rPr>
          <w:rFonts w:ascii="David" w:hAnsi="David" w:cs="David"/>
          <w:b/>
          <w:bCs/>
          <w:color w:val="000000"/>
          <w:rtl/>
        </w:rPr>
        <w:t xml:space="preserve">פס"ד </w:t>
      </w:r>
      <w:r w:rsidRPr="0096007F">
        <w:rPr>
          <w:rFonts w:ascii="David" w:hAnsi="David" w:cs="David" w:hint="cs"/>
          <w:b/>
          <w:bCs/>
          <w:color w:val="000000"/>
          <w:rtl/>
        </w:rPr>
        <w:t xml:space="preserve">גדעון </w:t>
      </w:r>
      <w:r w:rsidRPr="0096007F">
        <w:rPr>
          <w:rFonts w:ascii="David" w:hAnsi="David" w:cs="David"/>
          <w:b/>
          <w:bCs/>
          <w:color w:val="000000"/>
          <w:rtl/>
        </w:rPr>
        <w:t>רווה</w:t>
      </w:r>
      <w:r w:rsidRPr="0096007F">
        <w:rPr>
          <w:rFonts w:ascii="David" w:hAnsi="David" w:cs="David" w:hint="cs"/>
          <w:b/>
          <w:bCs/>
          <w:color w:val="000000"/>
          <w:rtl/>
        </w:rPr>
        <w:t xml:space="preserve"> </w:t>
      </w:r>
      <w:r w:rsidRPr="0096007F">
        <w:rPr>
          <w:rFonts w:ascii="David" w:hAnsi="David" w:cs="David" w:hint="cs"/>
          <w:color w:val="000000"/>
          <w:rtl/>
        </w:rPr>
        <w:t>וההפניות שם</w:t>
      </w:r>
      <w:r w:rsidRPr="0096007F">
        <w:rPr>
          <w:rFonts w:ascii="David" w:hAnsi="David" w:cs="David" w:hint="cs"/>
          <w:b/>
          <w:bCs/>
          <w:color w:val="000000"/>
          <w:rtl/>
        </w:rPr>
        <w:t>),</w:t>
      </w:r>
      <w:r w:rsidRPr="0096007F">
        <w:rPr>
          <w:rFonts w:ascii="David" w:hAnsi="David" w:cs="David" w:hint="cs"/>
          <w:b/>
          <w:bCs/>
          <w:rtl/>
        </w:rPr>
        <w:t xml:space="preserve"> </w:t>
      </w:r>
      <w:r w:rsidRPr="0096007F">
        <w:rPr>
          <w:rFonts w:ascii="David" w:hAnsi="David" w:cs="David" w:hint="cs"/>
          <w:rtl/>
        </w:rPr>
        <w:t>ו</w:t>
      </w:r>
      <w:r w:rsidRPr="0096007F">
        <w:rPr>
          <w:rFonts w:ascii="David" w:hAnsi="David" w:cs="David" w:hint="cs"/>
          <w:b/>
          <w:bCs/>
          <w:rtl/>
        </w:rPr>
        <w:t>"</w:t>
      </w:r>
      <w:r w:rsidRPr="0096007F">
        <w:rPr>
          <w:rFonts w:ascii="David" w:hAnsi="David" w:cs="David"/>
          <w:b/>
          <w:bCs/>
          <w:rtl/>
        </w:rPr>
        <w:t>בית המשפט המחוזי לא קיים את חובת ההנמקה, ולו רק במקצת, ודי בכך כדי לבטל את החלטתו, ולהחזיר אליו את התיק."</w:t>
      </w:r>
      <w:r w:rsidRPr="0096007F">
        <w:rPr>
          <w:rFonts w:ascii="David" w:hAnsi="David" w:cs="David"/>
          <w:rtl/>
        </w:rPr>
        <w:t xml:space="preserve"> (רע"</w:t>
      </w:r>
      <w:r w:rsidRPr="0096007F">
        <w:rPr>
          <w:rFonts w:ascii="David" w:hAnsi="David" w:cs="David" w:hint="cs"/>
          <w:rtl/>
        </w:rPr>
        <w:t>א</w:t>
      </w:r>
      <w:r w:rsidRPr="0096007F">
        <w:rPr>
          <w:rFonts w:ascii="David" w:hAnsi="David" w:cs="David"/>
          <w:rtl/>
        </w:rPr>
        <w:t xml:space="preserve"> 3019/98 </w:t>
      </w:r>
      <w:r w:rsidRPr="0096007F">
        <w:rPr>
          <w:rFonts w:ascii="David" w:hAnsi="David" w:cs="David"/>
          <w:b/>
          <w:bCs/>
          <w:rtl/>
        </w:rPr>
        <w:t>מדינת ישראל נ' יצחק ארזי</w:t>
      </w:r>
      <w:r w:rsidRPr="0096007F">
        <w:rPr>
          <w:rFonts w:ascii="David" w:hAnsi="David" w:cs="David"/>
          <w:rtl/>
        </w:rPr>
        <w:t>, פ"ד נב(2), 743, עמ' 749-748).</w:t>
      </w:r>
    </w:p>
    <w:p w:rsidR="00534C43" w:rsidRPr="0096007F" w:rsidRDefault="00534C43" w:rsidP="004E68D6">
      <w:pPr>
        <w:pStyle w:val="ListParagraph"/>
        <w:widowControl w:val="0"/>
        <w:numPr>
          <w:ilvl w:val="0"/>
          <w:numId w:val="2"/>
        </w:numPr>
        <w:shd w:val="clear" w:color="auto" w:fill="FFFFFF"/>
        <w:tabs>
          <w:tab w:val="right" w:pos="8640"/>
        </w:tabs>
        <w:bidi/>
        <w:spacing w:before="120" w:line="360" w:lineRule="auto"/>
        <w:ind w:left="91" w:hanging="382"/>
        <w:contextualSpacing w:val="0"/>
        <w:jc w:val="both"/>
        <w:rPr>
          <w:rFonts w:ascii="David" w:hAnsi="David" w:cs="David"/>
          <w:color w:val="000000"/>
        </w:rPr>
      </w:pPr>
      <w:r w:rsidRPr="0096007F">
        <w:rPr>
          <w:rFonts w:ascii="David" w:hAnsi="David" w:cs="David" w:hint="cs"/>
          <w:rtl/>
        </w:rPr>
        <w:t xml:space="preserve">למרבה האבסורד, וכראיה </w:t>
      </w:r>
      <w:r w:rsidR="00F83A93" w:rsidRPr="0096007F">
        <w:rPr>
          <w:rFonts w:ascii="David" w:hAnsi="David" w:cs="David" w:hint="cs"/>
          <w:rtl/>
        </w:rPr>
        <w:t>נוספת</w:t>
      </w:r>
      <w:r w:rsidRPr="0096007F">
        <w:rPr>
          <w:rFonts w:ascii="David" w:hAnsi="David" w:cs="David" w:hint="cs"/>
          <w:rtl/>
        </w:rPr>
        <w:t xml:space="preserve"> </w:t>
      </w:r>
      <w:r w:rsidR="00F83A93" w:rsidRPr="0096007F">
        <w:rPr>
          <w:rFonts w:ascii="David" w:hAnsi="David" w:cs="David" w:hint="cs"/>
          <w:rtl/>
        </w:rPr>
        <w:t xml:space="preserve">לכך </w:t>
      </w:r>
      <w:r w:rsidRPr="0096007F">
        <w:rPr>
          <w:rFonts w:ascii="David" w:hAnsi="David" w:cs="David" w:hint="cs"/>
          <w:rtl/>
        </w:rPr>
        <w:t>שהש</w:t>
      </w:r>
      <w:r w:rsidR="00145C43" w:rsidRPr="0096007F">
        <w:rPr>
          <w:rFonts w:ascii="David" w:hAnsi="David" w:cs="David" w:hint="cs"/>
          <w:rtl/>
        </w:rPr>
        <w:t xml:space="preserve">' </w:t>
      </w:r>
      <w:r w:rsidR="00F83A93" w:rsidRPr="0096007F">
        <w:rPr>
          <w:rFonts w:ascii="David" w:hAnsi="David" w:cs="David" w:hint="cs"/>
          <w:rtl/>
        </w:rPr>
        <w:t xml:space="preserve">(עמיתה) </w:t>
      </w:r>
      <w:r w:rsidR="00145C43" w:rsidRPr="0096007F">
        <w:rPr>
          <w:rFonts w:ascii="David" w:hAnsi="David" w:cs="David" w:hint="cs"/>
          <w:rtl/>
        </w:rPr>
        <w:t xml:space="preserve">דותן </w:t>
      </w:r>
      <w:r w:rsidR="00F83A93" w:rsidRPr="0096007F">
        <w:rPr>
          <w:rFonts w:ascii="David" w:hAnsi="David" w:cs="David" w:hint="cs"/>
          <w:rtl/>
        </w:rPr>
        <w:t xml:space="preserve">לא קראה כלל </w:t>
      </w:r>
      <w:r w:rsidRPr="0096007F">
        <w:rPr>
          <w:rFonts w:ascii="David" w:hAnsi="David" w:cs="David" w:hint="cs"/>
          <w:rtl/>
        </w:rPr>
        <w:t>את הבקשה לקבלת ראיות נוספות</w:t>
      </w:r>
      <w:r w:rsidR="00F83A93" w:rsidRPr="0096007F">
        <w:rPr>
          <w:rFonts w:ascii="David" w:hAnsi="David" w:cs="David" w:hint="cs"/>
          <w:rtl/>
        </w:rPr>
        <w:t>,</w:t>
      </w:r>
      <w:r w:rsidRPr="0096007F">
        <w:rPr>
          <w:rFonts w:ascii="David" w:hAnsi="David" w:cs="David" w:hint="cs"/>
          <w:rtl/>
        </w:rPr>
        <w:t xml:space="preserve"> וגם לא את כתב הערעור </w:t>
      </w:r>
      <w:r w:rsidR="003B2FC5" w:rsidRPr="0096007F">
        <w:rPr>
          <w:rFonts w:ascii="David" w:hAnsi="David" w:cs="David" w:hint="cs"/>
          <w:rtl/>
        </w:rPr>
        <w:t xml:space="preserve">ולא את עיקרי הטיעון, </w:t>
      </w:r>
      <w:r w:rsidRPr="0096007F">
        <w:rPr>
          <w:rFonts w:ascii="David" w:hAnsi="David" w:cs="David" w:hint="cs"/>
          <w:rtl/>
        </w:rPr>
        <w:t>היא</w:t>
      </w:r>
      <w:r w:rsidR="00F83A93" w:rsidRPr="0096007F">
        <w:rPr>
          <w:rFonts w:ascii="David" w:hAnsi="David" w:cs="David" w:hint="cs"/>
          <w:rtl/>
        </w:rPr>
        <w:t>,</w:t>
      </w:r>
      <w:r w:rsidRPr="0096007F">
        <w:rPr>
          <w:rFonts w:ascii="David" w:hAnsi="David" w:cs="David" w:hint="cs"/>
          <w:rtl/>
        </w:rPr>
        <w:t xml:space="preserve"> שקבעה ללא נימוק, שסדר הדין שקבע הש</w:t>
      </w:r>
      <w:r w:rsidR="00145C43" w:rsidRPr="0096007F">
        <w:rPr>
          <w:rFonts w:ascii="David" w:hAnsi="David" w:cs="David" w:hint="cs"/>
          <w:rtl/>
        </w:rPr>
        <w:t xml:space="preserve">' </w:t>
      </w:r>
      <w:r w:rsidRPr="0096007F">
        <w:rPr>
          <w:rFonts w:ascii="David" w:hAnsi="David" w:cs="David" w:hint="cs"/>
          <w:rtl/>
        </w:rPr>
        <w:t xml:space="preserve">תמיר </w:t>
      </w:r>
      <w:r w:rsidR="00145C43" w:rsidRPr="0096007F">
        <w:rPr>
          <w:rFonts w:ascii="David" w:hAnsi="David" w:cs="David" w:hint="cs"/>
          <w:rtl/>
        </w:rPr>
        <w:t xml:space="preserve">להמשך ההליך </w:t>
      </w:r>
      <w:r w:rsidRPr="0096007F">
        <w:rPr>
          <w:rFonts w:ascii="David" w:hAnsi="David" w:cs="David" w:hint="cs"/>
          <w:rtl/>
        </w:rPr>
        <w:t>א</w:t>
      </w:r>
      <w:r w:rsidR="00145C43" w:rsidRPr="0096007F">
        <w:rPr>
          <w:rFonts w:ascii="David" w:hAnsi="David" w:cs="David" w:hint="cs"/>
          <w:rtl/>
        </w:rPr>
        <w:t>י</w:t>
      </w:r>
      <w:r w:rsidRPr="0096007F">
        <w:rPr>
          <w:rFonts w:ascii="David" w:hAnsi="David" w:cs="David" w:hint="cs"/>
          <w:rtl/>
        </w:rPr>
        <w:t xml:space="preserve">פשר לי להציג את גירסתי, שעה שסדר הדין המפורט בסע' 4 לכתב הערעור </w:t>
      </w:r>
      <w:r w:rsidR="003B2FC5" w:rsidRPr="0096007F">
        <w:rPr>
          <w:rFonts w:ascii="David" w:hAnsi="David" w:cs="David" w:hint="cs"/>
          <w:rtl/>
        </w:rPr>
        <w:t xml:space="preserve">ובסע' </w:t>
      </w:r>
      <w:r w:rsidR="008907A9" w:rsidRPr="0096007F">
        <w:rPr>
          <w:rFonts w:ascii="David" w:hAnsi="David" w:cs="David" w:hint="cs"/>
          <w:rtl/>
        </w:rPr>
        <w:t xml:space="preserve">20 לעיקרי הטיעון </w:t>
      </w:r>
      <w:r w:rsidR="003B2FC5" w:rsidRPr="0096007F">
        <w:rPr>
          <w:rFonts w:ascii="David" w:hAnsi="David" w:cs="David" w:hint="cs"/>
          <w:rtl/>
        </w:rPr>
        <w:t xml:space="preserve"> </w:t>
      </w:r>
      <w:r w:rsidR="00145C43" w:rsidRPr="0096007F">
        <w:rPr>
          <w:rFonts w:ascii="David" w:hAnsi="David" w:cs="David" w:hint="cs"/>
          <w:rtl/>
        </w:rPr>
        <w:t>ו</w:t>
      </w:r>
      <w:r w:rsidRPr="0096007F">
        <w:rPr>
          <w:rFonts w:ascii="David" w:hAnsi="David" w:cs="David" w:hint="cs"/>
          <w:rtl/>
        </w:rPr>
        <w:t xml:space="preserve">בסע' </w:t>
      </w:r>
      <w:r w:rsidR="004E68D6" w:rsidRPr="0096007F">
        <w:rPr>
          <w:rFonts w:ascii="David" w:hAnsi="David" w:cs="David" w:hint="cs"/>
          <w:rtl/>
        </w:rPr>
        <w:t>93</w:t>
      </w:r>
      <w:r w:rsidRPr="0096007F">
        <w:rPr>
          <w:rFonts w:ascii="David" w:hAnsi="David" w:cs="David" w:hint="cs"/>
          <w:rtl/>
        </w:rPr>
        <w:t xml:space="preserve"> לבר"ע </w:t>
      </w:r>
      <w:r w:rsidR="00145C43" w:rsidRPr="0096007F">
        <w:rPr>
          <w:rFonts w:ascii="David" w:hAnsi="David" w:cs="David" w:hint="cs"/>
          <w:rtl/>
        </w:rPr>
        <w:t>נקבע בכוונה לגרום לדחיית התביעה</w:t>
      </w:r>
      <w:r w:rsidR="00FB42D8" w:rsidRPr="0096007F">
        <w:rPr>
          <w:rFonts w:ascii="David" w:hAnsi="David" w:cs="David" w:hint="cs"/>
          <w:rtl/>
        </w:rPr>
        <w:t xml:space="preserve">, </w:t>
      </w:r>
      <w:r w:rsidR="00145C43" w:rsidRPr="0096007F">
        <w:rPr>
          <w:rFonts w:ascii="David" w:hAnsi="David" w:cs="David" w:hint="cs"/>
          <w:rtl/>
        </w:rPr>
        <w:t>ו</w:t>
      </w:r>
      <w:r w:rsidR="00FB42D8" w:rsidRPr="0096007F">
        <w:rPr>
          <w:rFonts w:ascii="David" w:hAnsi="David" w:cs="David" w:hint="cs"/>
          <w:rtl/>
        </w:rPr>
        <w:t>כשאין בתקנות כל איזכור ל"תיק מוצגים" בערכאת דיון (להבדיל מערעור) והש</w:t>
      </w:r>
      <w:r w:rsidR="00145C43" w:rsidRPr="0096007F">
        <w:rPr>
          <w:rFonts w:ascii="David" w:hAnsi="David" w:cs="David" w:hint="cs"/>
          <w:rtl/>
        </w:rPr>
        <w:t xml:space="preserve">' </w:t>
      </w:r>
      <w:r w:rsidR="00FB42D8" w:rsidRPr="0096007F">
        <w:rPr>
          <w:rFonts w:ascii="David" w:hAnsi="David" w:cs="David" w:hint="cs"/>
          <w:rtl/>
        </w:rPr>
        <w:t xml:space="preserve">תמיר סירב להבהיר, וקבע את </w:t>
      </w:r>
      <w:r w:rsidR="00145C43" w:rsidRPr="0096007F">
        <w:rPr>
          <w:rFonts w:ascii="David" w:hAnsi="David" w:cs="David" w:hint="cs"/>
          <w:rtl/>
        </w:rPr>
        <w:t>מהותו</w:t>
      </w:r>
      <w:r w:rsidR="00FB42D8" w:rsidRPr="0096007F">
        <w:rPr>
          <w:rFonts w:ascii="David" w:hAnsi="David" w:cs="David" w:hint="cs"/>
          <w:rtl/>
        </w:rPr>
        <w:t xml:space="preserve"> רק בדיעבד</w:t>
      </w:r>
      <w:r w:rsidR="00145C43" w:rsidRPr="0096007F">
        <w:rPr>
          <w:rFonts w:ascii="David" w:hAnsi="David" w:cs="David" w:hint="cs"/>
          <w:rtl/>
        </w:rPr>
        <w:t>.</w:t>
      </w:r>
    </w:p>
    <w:p w:rsidR="005B0CB6" w:rsidRPr="0096007F" w:rsidRDefault="00677F62" w:rsidP="00D94F55">
      <w:pPr>
        <w:widowControl w:val="0"/>
        <w:numPr>
          <w:ilvl w:val="0"/>
          <w:numId w:val="2"/>
        </w:numPr>
        <w:shd w:val="clear" w:color="auto" w:fill="FFFFFF"/>
        <w:tabs>
          <w:tab w:val="right" w:pos="8640"/>
        </w:tabs>
        <w:bidi/>
        <w:spacing w:before="120" w:line="360" w:lineRule="auto"/>
        <w:ind w:left="91" w:hanging="382"/>
        <w:jc w:val="both"/>
        <w:rPr>
          <w:rFonts w:ascii="David" w:hAnsi="David" w:cs="David"/>
          <w:color w:val="000000"/>
        </w:rPr>
      </w:pPr>
      <w:r w:rsidRPr="0096007F">
        <w:rPr>
          <w:rFonts w:ascii="David" w:hAnsi="David" w:cs="David" w:hint="cs"/>
          <w:color w:val="000000"/>
          <w:rtl/>
        </w:rPr>
        <w:t xml:space="preserve"> </w:t>
      </w:r>
      <w:r w:rsidR="005B0CB6" w:rsidRPr="0096007F">
        <w:rPr>
          <w:rFonts w:ascii="David" w:hAnsi="David" w:cs="David" w:hint="cs"/>
          <w:color w:val="000000"/>
          <w:rtl/>
        </w:rPr>
        <w:t xml:space="preserve">ברור </w:t>
      </w:r>
      <w:r w:rsidR="00E545FA" w:rsidRPr="0096007F">
        <w:rPr>
          <w:rFonts w:ascii="David" w:hAnsi="David" w:cs="David" w:hint="cs"/>
          <w:color w:val="000000"/>
          <w:rtl/>
        </w:rPr>
        <w:t>ש</w:t>
      </w:r>
      <w:r w:rsidR="005B0CB6" w:rsidRPr="0096007F">
        <w:rPr>
          <w:rFonts w:ascii="David" w:hAnsi="David" w:cs="David" w:hint="cs"/>
          <w:color w:val="000000"/>
          <w:rtl/>
        </w:rPr>
        <w:t xml:space="preserve">בתנאי משרתה </w:t>
      </w:r>
      <w:r w:rsidR="00E545FA" w:rsidRPr="0096007F">
        <w:rPr>
          <w:rFonts w:ascii="David" w:hAnsi="David" w:cs="David" w:hint="cs"/>
          <w:color w:val="000000"/>
          <w:rtl/>
        </w:rPr>
        <w:t xml:space="preserve">הש' (עמיתה) דותן לא תקרא </w:t>
      </w:r>
      <w:r w:rsidR="005B0CB6" w:rsidRPr="0096007F">
        <w:rPr>
          <w:rFonts w:ascii="David" w:hAnsi="David" w:cs="David" w:hint="cs"/>
          <w:color w:val="000000"/>
          <w:rtl/>
        </w:rPr>
        <w:t xml:space="preserve">את כתב הערעור, עיקרי הטיעון מטעמי </w:t>
      </w:r>
      <w:r w:rsidR="005B0CB6" w:rsidRPr="0096007F">
        <w:rPr>
          <w:rFonts w:ascii="David" w:hAnsi="David" w:cs="David" w:hint="cs"/>
          <w:b/>
          <w:bCs/>
          <w:color w:val="000000"/>
          <w:u w:val="single"/>
          <w:rtl/>
        </w:rPr>
        <w:t>והפניותיהם</w:t>
      </w:r>
      <w:r w:rsidR="005B0CB6" w:rsidRPr="0096007F">
        <w:rPr>
          <w:rFonts w:ascii="David" w:hAnsi="David" w:cs="David" w:hint="cs"/>
          <w:color w:val="000000"/>
          <w:rtl/>
        </w:rPr>
        <w:t>, ו</w:t>
      </w:r>
      <w:r w:rsidR="00F83A93" w:rsidRPr="0096007F">
        <w:rPr>
          <w:rFonts w:ascii="David" w:hAnsi="David" w:cs="David" w:hint="cs"/>
          <w:color w:val="000000"/>
          <w:rtl/>
        </w:rPr>
        <w:t xml:space="preserve">את </w:t>
      </w:r>
      <w:r w:rsidR="005B0CB6" w:rsidRPr="0096007F">
        <w:rPr>
          <w:rFonts w:ascii="David" w:hAnsi="David" w:cs="David" w:hint="cs"/>
          <w:color w:val="000000"/>
          <w:rtl/>
        </w:rPr>
        <w:t xml:space="preserve">תיק המוצגים, והבקשה לקבלת ראיות </w:t>
      </w:r>
      <w:r w:rsidR="005B0CB6" w:rsidRPr="0096007F">
        <w:rPr>
          <w:rFonts w:ascii="David" w:hAnsi="David" w:cs="David" w:hint="cs"/>
          <w:b/>
          <w:bCs/>
          <w:color w:val="000000"/>
          <w:u w:val="single"/>
          <w:rtl/>
        </w:rPr>
        <w:t>ונספחיהם מהבקשה המקורית</w:t>
      </w:r>
      <w:r w:rsidR="005B0CB6" w:rsidRPr="0096007F">
        <w:rPr>
          <w:rFonts w:ascii="David" w:hAnsi="David" w:cs="David" w:hint="cs"/>
          <w:color w:val="000000"/>
          <w:rtl/>
        </w:rPr>
        <w:t xml:space="preserve"> ואת תגובות הצדדים שכנגד ואת תשובתי,  ועיקרי הטיעון של הצדדים שכנגד - נ/7 ונספחי נ/5, נ/8, נ/9, נ/10, נ/11, נ/12, נ/13, נ/14ת נ/16ת נ/27, נ/28, נ/29, מ30, ואת תצהיר העדות הראשית ונתוני המדידה שצורפו </w:t>
      </w:r>
      <w:r w:rsidR="00E545FA" w:rsidRPr="0096007F">
        <w:rPr>
          <w:rFonts w:ascii="David" w:hAnsi="David" w:cs="David" w:hint="cs"/>
          <w:color w:val="000000"/>
          <w:rtl/>
        </w:rPr>
        <w:t>ל</w:t>
      </w:r>
      <w:r w:rsidR="005B0CB6" w:rsidRPr="0096007F">
        <w:rPr>
          <w:rFonts w:ascii="David" w:hAnsi="David" w:cs="David" w:hint="cs"/>
          <w:color w:val="000000"/>
          <w:rtl/>
        </w:rPr>
        <w:t>בקשה נוספת, (</w:t>
      </w:r>
      <w:r w:rsidR="005B0CB6" w:rsidRPr="0096007F">
        <w:rPr>
          <w:rFonts w:ascii="David" w:hAnsi="David" w:cs="David" w:hint="cs"/>
          <w:b/>
          <w:bCs/>
          <w:color w:val="000000"/>
          <w:rtl/>
        </w:rPr>
        <w:t>נ/28)</w:t>
      </w:r>
      <w:r w:rsidR="005B0CB6" w:rsidRPr="0096007F">
        <w:rPr>
          <w:rFonts w:ascii="David" w:hAnsi="David" w:cs="David" w:hint="cs"/>
          <w:color w:val="000000"/>
          <w:rtl/>
        </w:rPr>
        <w:t>.</w:t>
      </w:r>
    </w:p>
    <w:p w:rsidR="004375B0" w:rsidRPr="0096007F" w:rsidRDefault="005B0CB6" w:rsidP="004E68D6">
      <w:pPr>
        <w:pStyle w:val="ListParagraph"/>
        <w:widowControl w:val="0"/>
        <w:numPr>
          <w:ilvl w:val="0"/>
          <w:numId w:val="2"/>
        </w:numPr>
        <w:shd w:val="clear" w:color="auto" w:fill="FFFFFF"/>
        <w:tabs>
          <w:tab w:val="right" w:pos="8640"/>
        </w:tabs>
        <w:bidi/>
        <w:spacing w:before="120" w:line="360" w:lineRule="auto"/>
        <w:ind w:left="91" w:hanging="382"/>
        <w:contextualSpacing w:val="0"/>
        <w:jc w:val="both"/>
        <w:rPr>
          <w:rFonts w:ascii="David" w:hAnsi="David" w:cs="David"/>
          <w:color w:val="000000"/>
        </w:rPr>
      </w:pPr>
      <w:r w:rsidRPr="0096007F">
        <w:rPr>
          <w:rFonts w:ascii="David" w:hAnsi="David" w:cs="David" w:hint="cs"/>
          <w:color w:val="000000"/>
          <w:rtl/>
        </w:rPr>
        <w:t xml:space="preserve">גם </w:t>
      </w:r>
      <w:r w:rsidR="007A6A26" w:rsidRPr="0096007F">
        <w:rPr>
          <w:rFonts w:ascii="David" w:hAnsi="David" w:cs="David" w:hint="cs"/>
          <w:color w:val="000000"/>
          <w:rtl/>
        </w:rPr>
        <w:t>לא הייתה לש' (עמיתה) דותן סיבה  לקרוא את הדרוש</w:t>
      </w:r>
      <w:r w:rsidR="00E545FA" w:rsidRPr="0096007F">
        <w:rPr>
          <w:rFonts w:ascii="David" w:hAnsi="David" w:cs="David" w:hint="cs"/>
          <w:color w:val="000000"/>
          <w:rtl/>
        </w:rPr>
        <w:t>,</w:t>
      </w:r>
      <w:r w:rsidR="007A6A26" w:rsidRPr="0096007F">
        <w:rPr>
          <w:rFonts w:ascii="David" w:hAnsi="David" w:cs="David" w:hint="cs"/>
          <w:color w:val="000000"/>
          <w:rtl/>
        </w:rPr>
        <w:t xml:space="preserve"> כי</w:t>
      </w:r>
      <w:r w:rsidR="00E510E2" w:rsidRPr="0096007F">
        <w:rPr>
          <w:rFonts w:ascii="David" w:hAnsi="David" w:cs="David" w:hint="cs"/>
          <w:color w:val="000000"/>
          <w:rtl/>
        </w:rPr>
        <w:t xml:space="preserve"> הגיעה לדיון, שהתברר כמיותר, בכוונה תחילה ומראש לדחות את הערעור, ועם פס"ד מוכן מראש שהוא העתקה ושכתוב וניסוחים קצת אחרים (ולעיתים אפילו זה לא) של חלקים ספורדיי</w:t>
      </w:r>
      <w:r w:rsidR="00E510E2" w:rsidRPr="0096007F">
        <w:rPr>
          <w:rFonts w:ascii="David" w:hAnsi="David" w:cs="David" w:hint="eastAsia"/>
          <w:color w:val="000000"/>
          <w:rtl/>
        </w:rPr>
        <w:t>ם</w:t>
      </w:r>
      <w:r w:rsidR="00E510E2" w:rsidRPr="0096007F">
        <w:rPr>
          <w:rFonts w:ascii="David" w:hAnsi="David" w:cs="David" w:hint="cs"/>
          <w:color w:val="000000"/>
          <w:rtl/>
        </w:rPr>
        <w:t xml:space="preserve"> מפס"ד קמא לפסה"ד בערעור, וכל זאת עם דעה "נעולה" בבחינת "משחק מכור", כמפורט ומוכח בכתב הבר"ע. למשל, אך לא רק, סע' </w:t>
      </w:r>
      <w:r w:rsidR="004E68D6" w:rsidRPr="0096007F">
        <w:rPr>
          <w:rFonts w:ascii="David" w:hAnsi="David" w:cs="David" w:hint="cs"/>
          <w:color w:val="000000"/>
          <w:rtl/>
        </w:rPr>
        <w:t>144</w:t>
      </w:r>
      <w:r w:rsidR="00E510E2" w:rsidRPr="0096007F">
        <w:rPr>
          <w:rFonts w:ascii="David" w:hAnsi="David" w:cs="David" w:hint="cs"/>
          <w:color w:val="000000"/>
          <w:rtl/>
        </w:rPr>
        <w:t xml:space="preserve">, </w:t>
      </w:r>
      <w:r w:rsidR="004E68D6" w:rsidRPr="0096007F">
        <w:rPr>
          <w:rFonts w:ascii="David" w:hAnsi="David" w:cs="David" w:hint="cs"/>
          <w:color w:val="000000"/>
          <w:rtl/>
        </w:rPr>
        <w:t>153</w:t>
      </w:r>
      <w:r w:rsidR="00E510E2" w:rsidRPr="0096007F">
        <w:rPr>
          <w:rFonts w:ascii="David" w:hAnsi="David" w:cs="David" w:hint="cs"/>
          <w:color w:val="000000"/>
          <w:rtl/>
        </w:rPr>
        <w:t xml:space="preserve"> לבר"ע. </w:t>
      </w:r>
    </w:p>
    <w:p w:rsidR="005B0CB6" w:rsidRPr="0096007F" w:rsidRDefault="00E510E2" w:rsidP="00D94F55">
      <w:pPr>
        <w:pStyle w:val="ListParagraph"/>
        <w:widowControl w:val="0"/>
        <w:numPr>
          <w:ilvl w:val="0"/>
          <w:numId w:val="2"/>
        </w:numPr>
        <w:shd w:val="clear" w:color="auto" w:fill="FFFFFF"/>
        <w:tabs>
          <w:tab w:val="right" w:pos="8640"/>
        </w:tabs>
        <w:bidi/>
        <w:spacing w:before="120" w:line="360" w:lineRule="auto"/>
        <w:ind w:left="91" w:hanging="382"/>
        <w:contextualSpacing w:val="0"/>
        <w:jc w:val="both"/>
        <w:rPr>
          <w:rFonts w:ascii="David" w:hAnsi="David" w:cs="David"/>
          <w:color w:val="000000"/>
        </w:rPr>
      </w:pPr>
      <w:r w:rsidRPr="0096007F">
        <w:rPr>
          <w:rFonts w:ascii="David" w:hAnsi="David" w:cs="David" w:hint="cs"/>
          <w:color w:val="000000"/>
          <w:rtl/>
        </w:rPr>
        <w:t>השופטת אפילו לא קיימה פרוטוקול מוקלד, שכן היה גורם להתארכות זמן הדיון</w:t>
      </w:r>
      <w:r w:rsidR="004375B0" w:rsidRPr="0096007F">
        <w:rPr>
          <w:rFonts w:ascii="David" w:hAnsi="David" w:cs="David" w:hint="cs"/>
          <w:color w:val="000000"/>
          <w:rtl/>
        </w:rPr>
        <w:t>,</w:t>
      </w:r>
      <w:r w:rsidRPr="0096007F">
        <w:rPr>
          <w:rFonts w:ascii="David" w:hAnsi="David" w:cs="David" w:hint="cs"/>
          <w:color w:val="000000"/>
          <w:rtl/>
        </w:rPr>
        <w:t xml:space="preserve"> עליו היא לא משתכרת, </w:t>
      </w:r>
      <w:r w:rsidR="00DA1350" w:rsidRPr="0096007F">
        <w:rPr>
          <w:rFonts w:ascii="David" w:hAnsi="David" w:cs="David" w:hint="cs"/>
          <w:color w:val="000000"/>
          <w:rtl/>
        </w:rPr>
        <w:t>ו</w:t>
      </w:r>
      <w:r w:rsidRPr="0096007F">
        <w:rPr>
          <w:rFonts w:ascii="David" w:hAnsi="David" w:cs="David" w:hint="cs"/>
          <w:color w:val="000000"/>
          <w:rtl/>
        </w:rPr>
        <w:t xml:space="preserve">מנעה ממני להעלות את טענותיי </w:t>
      </w:r>
      <w:r w:rsidRPr="0096007F">
        <w:rPr>
          <w:rFonts w:ascii="David" w:hAnsi="David" w:cs="David" w:hint="cs"/>
          <w:b/>
          <w:bCs/>
          <w:color w:val="000000"/>
          <w:rtl/>
        </w:rPr>
        <w:t>(נ/3)</w:t>
      </w:r>
      <w:r w:rsidR="004375B0" w:rsidRPr="0096007F">
        <w:rPr>
          <w:rFonts w:ascii="David" w:hAnsi="David" w:cs="David" w:hint="cs"/>
          <w:b/>
          <w:bCs/>
          <w:color w:val="000000"/>
          <w:rtl/>
        </w:rPr>
        <w:t xml:space="preserve"> </w:t>
      </w:r>
      <w:r w:rsidR="004375B0" w:rsidRPr="0096007F">
        <w:rPr>
          <w:rFonts w:ascii="David" w:hAnsi="David" w:cs="David" w:hint="cs"/>
          <w:color w:val="000000"/>
          <w:rtl/>
        </w:rPr>
        <w:t>כדי לחסוך זמן</w:t>
      </w:r>
      <w:r w:rsidRPr="0096007F">
        <w:rPr>
          <w:rFonts w:ascii="David" w:hAnsi="David" w:cs="David" w:hint="cs"/>
          <w:color w:val="000000"/>
          <w:rtl/>
        </w:rPr>
        <w:t>, ו</w:t>
      </w:r>
      <w:r w:rsidR="00DA1350" w:rsidRPr="0096007F">
        <w:rPr>
          <w:rFonts w:ascii="David" w:hAnsi="David" w:cs="David" w:hint="cs"/>
          <w:color w:val="000000"/>
          <w:rtl/>
        </w:rPr>
        <w:t xml:space="preserve">נאלצתי </w:t>
      </w:r>
      <w:r w:rsidR="00F83A93" w:rsidRPr="0096007F">
        <w:rPr>
          <w:rFonts w:ascii="David" w:hAnsi="David" w:cs="David" w:hint="cs"/>
          <w:color w:val="000000"/>
          <w:rtl/>
        </w:rPr>
        <w:t>לעיתים "</w:t>
      </w:r>
      <w:r w:rsidRPr="0096007F">
        <w:rPr>
          <w:rFonts w:ascii="David" w:hAnsi="David" w:cs="David" w:hint="cs"/>
          <w:color w:val="000000"/>
          <w:rtl/>
        </w:rPr>
        <w:t>להילח</w:t>
      </w:r>
      <w:r w:rsidRPr="0096007F">
        <w:rPr>
          <w:rFonts w:ascii="David" w:hAnsi="David" w:cs="David" w:hint="eastAsia"/>
          <w:color w:val="000000"/>
          <w:rtl/>
        </w:rPr>
        <w:t>ם</w:t>
      </w:r>
      <w:r w:rsidRPr="0096007F">
        <w:rPr>
          <w:rFonts w:ascii="David" w:hAnsi="David" w:cs="David" w:hint="cs"/>
          <w:color w:val="000000"/>
          <w:rtl/>
        </w:rPr>
        <w:t xml:space="preserve"> בשיניים</w:t>
      </w:r>
      <w:r w:rsidR="00F83A93" w:rsidRPr="0096007F">
        <w:rPr>
          <w:rFonts w:ascii="David" w:hAnsi="David" w:cs="David" w:hint="cs"/>
          <w:color w:val="000000"/>
          <w:rtl/>
        </w:rPr>
        <w:t>"</w:t>
      </w:r>
      <w:r w:rsidRPr="0096007F">
        <w:rPr>
          <w:rFonts w:ascii="David" w:hAnsi="David" w:cs="David" w:hint="cs"/>
          <w:color w:val="000000"/>
          <w:rtl/>
        </w:rPr>
        <w:t xml:space="preserve"> כדי לשרבב רבע משפט, שגם אליו כלל לא התייחסה, ונתנה פס"ד שאין </w:t>
      </w:r>
      <w:r w:rsidR="00F83A93" w:rsidRPr="0096007F">
        <w:rPr>
          <w:rFonts w:ascii="David" w:hAnsi="David" w:cs="David" w:hint="cs"/>
          <w:color w:val="000000"/>
          <w:rtl/>
        </w:rPr>
        <w:t xml:space="preserve">קשר </w:t>
      </w:r>
      <w:r w:rsidRPr="0096007F">
        <w:rPr>
          <w:rFonts w:ascii="David" w:hAnsi="David" w:cs="David" w:hint="cs"/>
          <w:color w:val="000000"/>
          <w:rtl/>
        </w:rPr>
        <w:t>בינו לבין טענותיי ונימוקיי בכתב ובע"פ.</w:t>
      </w:r>
    </w:p>
    <w:p w:rsidR="005B0CB6" w:rsidRPr="0096007F" w:rsidRDefault="00E510E2" w:rsidP="00D94F55">
      <w:pPr>
        <w:pStyle w:val="ListParagraph"/>
        <w:widowControl w:val="0"/>
        <w:numPr>
          <w:ilvl w:val="0"/>
          <w:numId w:val="2"/>
        </w:numPr>
        <w:shd w:val="clear" w:color="auto" w:fill="FFFFFF"/>
        <w:tabs>
          <w:tab w:val="right" w:pos="8640"/>
        </w:tabs>
        <w:bidi/>
        <w:spacing w:before="120" w:line="360" w:lineRule="auto"/>
        <w:ind w:left="91" w:hanging="382"/>
        <w:contextualSpacing w:val="0"/>
        <w:jc w:val="both"/>
        <w:rPr>
          <w:rFonts w:ascii="David" w:hAnsi="David" w:cs="David"/>
          <w:color w:val="000000"/>
        </w:rPr>
      </w:pPr>
      <w:r w:rsidRPr="0096007F">
        <w:rPr>
          <w:rFonts w:ascii="David" w:hAnsi="David" w:cs="David" w:hint="cs"/>
          <w:color w:val="000000"/>
          <w:rtl/>
        </w:rPr>
        <w:t xml:space="preserve"> עניין העדרו של פרוטוקול מוקלד הוא בניגוד מוחלט לפסיקת ביהמ"ש העליון ע"י שני נשיאים (בתוארם אח"כ), לפיו חובה לקיים פרוטוקול מוקלד גם אם הדיון מוקלט, </w:t>
      </w:r>
      <w:r w:rsidR="0068034F" w:rsidRPr="0096007F">
        <w:rPr>
          <w:rFonts w:ascii="David" w:hAnsi="David" w:cs="David" w:hint="cs"/>
          <w:color w:val="000000"/>
          <w:rtl/>
        </w:rPr>
        <w:t>ש</w:t>
      </w:r>
      <w:r w:rsidRPr="0096007F">
        <w:rPr>
          <w:rFonts w:ascii="David" w:hAnsi="David" w:cs="David" w:hint="cs"/>
          <w:color w:val="000000"/>
          <w:rtl/>
        </w:rPr>
        <w:t xml:space="preserve">אף ע"פ חזקת ידיעת הדין ע"י ביהמ"ש, </w:t>
      </w:r>
      <w:r w:rsidR="0068034F" w:rsidRPr="0096007F">
        <w:rPr>
          <w:rFonts w:ascii="David" w:hAnsi="David" w:cs="David" w:hint="cs"/>
          <w:color w:val="000000"/>
          <w:rtl/>
        </w:rPr>
        <w:t>כב' הש' מכירה</w:t>
      </w:r>
      <w:r w:rsidRPr="0096007F">
        <w:rPr>
          <w:rFonts w:ascii="David" w:hAnsi="David" w:cs="David" w:hint="cs"/>
          <w:color w:val="000000"/>
          <w:rtl/>
        </w:rPr>
        <w:t xml:space="preserve"> (</w:t>
      </w:r>
      <w:r w:rsidRPr="0096007F">
        <w:rPr>
          <w:rFonts w:cs="David" w:hint="cs"/>
          <w:rtl/>
        </w:rPr>
        <w:t xml:space="preserve">רע"א 2193/08 </w:t>
      </w:r>
      <w:r w:rsidRPr="0096007F">
        <w:rPr>
          <w:rFonts w:cs="David" w:hint="cs"/>
          <w:b/>
          <w:bCs/>
          <w:rtl/>
        </w:rPr>
        <w:t>מנורה ביטוח נ' לובטון</w:t>
      </w:r>
      <w:r w:rsidR="0068034F" w:rsidRPr="0096007F">
        <w:rPr>
          <w:rFonts w:cs="David" w:hint="cs"/>
          <w:b/>
          <w:bCs/>
          <w:rtl/>
        </w:rPr>
        <w:t>,</w:t>
      </w:r>
      <w:r w:rsidRPr="0096007F">
        <w:rPr>
          <w:rFonts w:cs="David" w:hint="cs"/>
          <w:b/>
          <w:bCs/>
          <w:rtl/>
        </w:rPr>
        <w:t xml:space="preserve"> </w:t>
      </w:r>
      <w:r w:rsidRPr="0096007F">
        <w:rPr>
          <w:rFonts w:cs="David" w:hint="cs"/>
          <w:rtl/>
        </w:rPr>
        <w:t xml:space="preserve">רע"א 8532/14 </w:t>
      </w:r>
      <w:r w:rsidRPr="0096007F">
        <w:rPr>
          <w:rFonts w:cs="David" w:hint="cs"/>
          <w:b/>
          <w:bCs/>
          <w:rtl/>
        </w:rPr>
        <w:t>דחלאן נ' עיזבון המנוחה אמיתי</w:t>
      </w:r>
      <w:r w:rsidRPr="0096007F">
        <w:rPr>
          <w:rFonts w:ascii="David" w:hAnsi="David" w:cs="David" w:hint="cs"/>
          <w:color w:val="000000"/>
          <w:rtl/>
        </w:rPr>
        <w:t>).</w:t>
      </w:r>
    </w:p>
    <w:p w:rsidR="00E510E2" w:rsidRPr="0096007F" w:rsidRDefault="00E510E2" w:rsidP="00D94F55">
      <w:pPr>
        <w:pStyle w:val="ListParagraph"/>
        <w:widowControl w:val="0"/>
        <w:numPr>
          <w:ilvl w:val="0"/>
          <w:numId w:val="2"/>
        </w:numPr>
        <w:shd w:val="clear" w:color="auto" w:fill="FFFFFF"/>
        <w:tabs>
          <w:tab w:val="right" w:pos="8640"/>
        </w:tabs>
        <w:bidi/>
        <w:spacing w:before="120" w:line="360" w:lineRule="auto"/>
        <w:ind w:left="91" w:hanging="382"/>
        <w:contextualSpacing w:val="0"/>
        <w:jc w:val="both"/>
        <w:rPr>
          <w:rFonts w:ascii="David" w:hAnsi="David" w:cs="David"/>
          <w:color w:val="000000"/>
        </w:rPr>
      </w:pPr>
      <w:r w:rsidRPr="0096007F">
        <w:rPr>
          <w:rFonts w:ascii="David" w:hAnsi="David" w:cs="David" w:hint="cs"/>
          <w:color w:val="000000"/>
          <w:rtl/>
        </w:rPr>
        <w:t xml:space="preserve">כל שעשתה הש' (עמיתה) דותן היה להעתיק ולשכתב במילים קצת אחרות (ולעיתים אפילו זה לא) חלקים </w:t>
      </w:r>
      <w:r w:rsidRPr="0096007F">
        <w:rPr>
          <w:rFonts w:ascii="David" w:hAnsi="David" w:cs="David" w:hint="cs"/>
          <w:color w:val="000000"/>
          <w:rtl/>
        </w:rPr>
        <w:lastRenderedPageBreak/>
        <w:t xml:space="preserve">קצרים מפס"ד קמא להיות כפסק דינה, </w:t>
      </w:r>
      <w:r w:rsidRPr="0096007F">
        <w:rPr>
          <w:rFonts w:ascii="David" w:hAnsi="David" w:cs="David" w:hint="cs"/>
          <w:b/>
          <w:bCs/>
          <w:color w:val="000000"/>
          <w:rtl/>
        </w:rPr>
        <w:t>תוך שהיא מעתיקה גם את טעויותיו</w:t>
      </w:r>
      <w:r w:rsidRPr="0096007F">
        <w:rPr>
          <w:rFonts w:ascii="David" w:hAnsi="David" w:cs="David" w:hint="cs"/>
          <w:color w:val="000000"/>
          <w:rtl/>
        </w:rPr>
        <w:t xml:space="preserve">, </w:t>
      </w:r>
      <w:r w:rsidR="0068034F" w:rsidRPr="0096007F">
        <w:rPr>
          <w:rFonts w:ascii="David" w:hAnsi="David" w:cs="David" w:hint="cs"/>
          <w:color w:val="000000"/>
          <w:rtl/>
        </w:rPr>
        <w:t xml:space="preserve">ואפילו אמרתי לש' (עמיתה) דותן בדיון </w:t>
      </w:r>
      <w:r w:rsidR="0068034F" w:rsidRPr="0096007F">
        <w:rPr>
          <w:rFonts w:ascii="David" w:hAnsi="David" w:cs="David" w:hint="cs"/>
          <w:b/>
          <w:bCs/>
          <w:rtl/>
        </w:rPr>
        <w:t>"</w:t>
      </w:r>
      <w:r w:rsidR="0068034F" w:rsidRPr="0096007F">
        <w:rPr>
          <w:rFonts w:ascii="David" w:hAnsi="David" w:cs="David"/>
          <w:b/>
          <w:bCs/>
          <w:rtl/>
        </w:rPr>
        <w:t>גברתי חוזרת על הטעות של השופט תמיר</w:t>
      </w:r>
      <w:r w:rsidR="0068034F" w:rsidRPr="0096007F">
        <w:rPr>
          <w:rFonts w:ascii="David" w:hAnsi="David" w:cs="David" w:hint="cs"/>
          <w:b/>
          <w:bCs/>
          <w:rtl/>
        </w:rPr>
        <w:t>"</w:t>
      </w:r>
      <w:r w:rsidR="0068034F" w:rsidRPr="0096007F">
        <w:rPr>
          <w:rFonts w:ascii="David" w:hAnsi="David" w:cs="David" w:hint="cs"/>
          <w:rtl/>
        </w:rPr>
        <w:t xml:space="preserve"> </w:t>
      </w:r>
      <w:r w:rsidR="0068034F" w:rsidRPr="0096007F">
        <w:rPr>
          <w:rFonts w:ascii="David" w:hAnsi="David" w:cs="David" w:hint="cs"/>
          <w:b/>
          <w:bCs/>
          <w:rtl/>
        </w:rPr>
        <w:t>(נ/3 עמ' 7 ש' 39)</w:t>
      </w:r>
      <w:r w:rsidR="0068034F" w:rsidRPr="0096007F">
        <w:rPr>
          <w:rFonts w:ascii="David" w:hAnsi="David" w:cs="David" w:hint="cs"/>
          <w:rtl/>
        </w:rPr>
        <w:t>,</w:t>
      </w:r>
      <w:r w:rsidR="0068034F" w:rsidRPr="0096007F">
        <w:rPr>
          <w:rFonts w:ascii="David" w:hAnsi="David" w:cs="David" w:hint="cs"/>
          <w:color w:val="000000"/>
          <w:rtl/>
        </w:rPr>
        <w:t xml:space="preserve">" שכן כל שידעה זה רק מה שכתוב בפס"ד קמא, </w:t>
      </w:r>
      <w:r w:rsidRPr="0096007F">
        <w:rPr>
          <w:rFonts w:ascii="David" w:hAnsi="David" w:cs="David" w:hint="cs"/>
          <w:b/>
          <w:bCs/>
          <w:color w:val="000000"/>
          <w:rtl/>
        </w:rPr>
        <w:t>כך שלמעשה, ובפועל, לא היה בכלל הליך ערעור ולא ביקורת שיפוטית.</w:t>
      </w:r>
    </w:p>
    <w:p w:rsidR="00E510E2" w:rsidRPr="0096007F" w:rsidRDefault="00E510E2" w:rsidP="00D94F55">
      <w:pPr>
        <w:pStyle w:val="ListParagraph"/>
        <w:widowControl w:val="0"/>
        <w:numPr>
          <w:ilvl w:val="0"/>
          <w:numId w:val="2"/>
        </w:numPr>
        <w:shd w:val="clear" w:color="auto" w:fill="FFFFFF"/>
        <w:tabs>
          <w:tab w:val="right" w:pos="8640"/>
        </w:tabs>
        <w:bidi/>
        <w:spacing w:before="120" w:line="360" w:lineRule="auto"/>
        <w:ind w:left="91" w:hanging="382"/>
        <w:contextualSpacing w:val="0"/>
        <w:jc w:val="both"/>
        <w:rPr>
          <w:rFonts w:ascii="David" w:hAnsi="David" w:cs="David"/>
          <w:color w:val="000000"/>
        </w:rPr>
      </w:pPr>
      <w:r w:rsidRPr="0096007F">
        <w:rPr>
          <w:rFonts w:ascii="David" w:hAnsi="David" w:cs="David" w:hint="cs"/>
          <w:color w:val="000000"/>
          <w:rtl/>
        </w:rPr>
        <w:t>ואכן, בכל פסה"ד בערעור לא מוזכרת ולו עובדה אחת או טענה אחת מכל טענותיי בכתב</w:t>
      </w:r>
      <w:r w:rsidR="0068034F" w:rsidRPr="0096007F">
        <w:rPr>
          <w:rFonts w:ascii="David" w:hAnsi="David" w:cs="David" w:hint="cs"/>
          <w:color w:val="000000"/>
          <w:rtl/>
        </w:rPr>
        <w:t xml:space="preserve"> ובע"פ ולא ציטוט פס"ד אחד,</w:t>
      </w:r>
      <w:r w:rsidRPr="0096007F">
        <w:rPr>
          <w:rFonts w:ascii="David" w:hAnsi="David" w:cs="David" w:hint="cs"/>
          <w:color w:val="000000"/>
          <w:rtl/>
        </w:rPr>
        <w:t xml:space="preserve"> שכן לא תכתוב משהו שהיא לא יודעת כי פשוט לא קראה, וטענות רבות שכתבה גם לא נכונות עובדתית, כי פשוט לא קראה </w:t>
      </w:r>
      <w:r w:rsidR="00E545FA" w:rsidRPr="0096007F">
        <w:rPr>
          <w:rFonts w:ascii="David" w:hAnsi="David" w:cs="David" w:hint="cs"/>
          <w:color w:val="000000"/>
          <w:rtl/>
        </w:rPr>
        <w:t xml:space="preserve">דבר למעט את פס"ד קמא, </w:t>
      </w:r>
      <w:r w:rsidRPr="0096007F">
        <w:rPr>
          <w:rFonts w:ascii="David" w:hAnsi="David" w:cs="David" w:hint="cs"/>
          <w:color w:val="000000"/>
          <w:rtl/>
        </w:rPr>
        <w:t xml:space="preserve">למשל, </w:t>
      </w:r>
      <w:r w:rsidR="0068034F" w:rsidRPr="0096007F">
        <w:rPr>
          <w:rFonts w:ascii="David" w:hAnsi="David" w:cs="David" w:hint="cs"/>
          <w:color w:val="000000"/>
          <w:rtl/>
        </w:rPr>
        <w:t xml:space="preserve">כתבה </w:t>
      </w:r>
      <w:r w:rsidRPr="0096007F">
        <w:rPr>
          <w:rFonts w:ascii="David" w:hAnsi="David" w:cs="David" w:hint="cs"/>
          <w:color w:val="000000"/>
          <w:rtl/>
        </w:rPr>
        <w:t xml:space="preserve">שהנתבע 4 נמחק עוד בתחילת ההליך שעה שהאמת בכלל הפוכה, ולמרבה האבסורד </w:t>
      </w:r>
      <w:r w:rsidR="0068034F" w:rsidRPr="0096007F">
        <w:rPr>
          <w:rFonts w:ascii="David" w:hAnsi="David" w:cs="David" w:hint="cs"/>
          <w:color w:val="000000"/>
          <w:rtl/>
        </w:rPr>
        <w:t>על זה בדיוק הערעור, ש</w:t>
      </w:r>
      <w:r w:rsidRPr="0096007F">
        <w:rPr>
          <w:rFonts w:ascii="David" w:hAnsi="David" w:cs="David" w:hint="cs"/>
          <w:color w:val="000000"/>
          <w:rtl/>
        </w:rPr>
        <w:t>הוא לא נמחק בתחילת ההליך. וגם לא מטענותיי בע"פ, מהן התעלמה למרות שחזקה שהיו רלוונטיים כי היו מענה לשאלותיה בדיון (נ/3, עמ' 2 ש' 14)</w:t>
      </w:r>
      <w:r w:rsidR="00E545FA" w:rsidRPr="0096007F">
        <w:rPr>
          <w:rFonts w:ascii="David" w:hAnsi="David" w:cs="David" w:hint="cs"/>
          <w:color w:val="000000"/>
          <w:rtl/>
        </w:rPr>
        <w:t>, למשל למה נדרש תצהיר בהיקף כל כך רחב</w:t>
      </w:r>
      <w:r w:rsidRPr="0096007F">
        <w:rPr>
          <w:rFonts w:ascii="David" w:hAnsi="David" w:cs="David" w:hint="cs"/>
          <w:color w:val="000000"/>
          <w:rtl/>
        </w:rPr>
        <w:t>, והן נפלו על אוזניים ערלות, ומעבר לכך שהתשובה מופיעה בפירוט בכתב הערעור ובעיקרי הטיעון בהיותם מרכזיים בערעור, אזי כשראתה שהתשובה שומטת את הקרקע מתחת לכוונתה לדחות את הערעור, התעלמה לחלוטין. כמו כן, אין בכל פסה"ד ולו ציטוט אחד של פס"ד או הלכה, למרות פסקי הדין המהותיים שציטטתי, פס"ד גוטליב ופס"ד חברת חשמל (סע' 48 וסע' 55 לכתב הבר"ע).</w:t>
      </w:r>
    </w:p>
    <w:p w:rsidR="00BA76B1" w:rsidRPr="0096007F" w:rsidRDefault="00BA76B1" w:rsidP="00D94F55">
      <w:pPr>
        <w:pStyle w:val="ListParagraph"/>
        <w:widowControl w:val="0"/>
        <w:numPr>
          <w:ilvl w:val="0"/>
          <w:numId w:val="2"/>
        </w:numPr>
        <w:shd w:val="clear" w:color="auto" w:fill="FFFFFF"/>
        <w:tabs>
          <w:tab w:val="right" w:pos="8640"/>
        </w:tabs>
        <w:bidi/>
        <w:spacing w:before="120" w:line="360" w:lineRule="auto"/>
        <w:ind w:left="91" w:hanging="567"/>
        <w:contextualSpacing w:val="0"/>
        <w:jc w:val="both"/>
        <w:rPr>
          <w:rFonts w:ascii="David" w:hAnsi="David" w:cs="David"/>
          <w:color w:val="000000"/>
        </w:rPr>
      </w:pPr>
      <w:r w:rsidRPr="0096007F">
        <w:rPr>
          <w:rFonts w:ascii="David" w:hAnsi="David" w:cs="David" w:hint="cs"/>
          <w:color w:val="000000"/>
          <w:rtl/>
        </w:rPr>
        <w:t xml:space="preserve">כב' הש' (עמיתה) דותן אפילו גמגמה (לשון הש' נ/3, עמ' 13 ש' 19) במבוכה כשהתייחסה לחוות הדעת של המומחה ברמן בעת הכתבת פסה"ד לקלדנית בדיון כי </w:t>
      </w:r>
      <w:r w:rsidRPr="0096007F">
        <w:rPr>
          <w:rFonts w:ascii="David" w:hAnsi="David" w:cs="David" w:hint="cs"/>
          <w:b/>
          <w:bCs/>
          <w:color w:val="000000"/>
          <w:u w:val="single"/>
          <w:rtl/>
        </w:rPr>
        <w:t>אפילו</w:t>
      </w:r>
      <w:r w:rsidRPr="0096007F">
        <w:rPr>
          <w:rFonts w:ascii="David" w:hAnsi="David" w:cs="David" w:hint="cs"/>
          <w:color w:val="000000"/>
          <w:rtl/>
        </w:rPr>
        <w:t xml:space="preserve"> </w:t>
      </w:r>
      <w:r w:rsidRPr="0096007F">
        <w:rPr>
          <w:rFonts w:ascii="David" w:hAnsi="David" w:cs="David" w:hint="cs"/>
          <w:b/>
          <w:bCs/>
          <w:color w:val="000000"/>
          <w:u w:val="single"/>
          <w:rtl/>
        </w:rPr>
        <w:t>לא ידעה</w:t>
      </w:r>
      <w:r w:rsidRPr="0096007F">
        <w:rPr>
          <w:rFonts w:ascii="David" w:hAnsi="David" w:cs="David" w:hint="cs"/>
          <w:color w:val="000000"/>
          <w:rtl/>
        </w:rPr>
        <w:t xml:space="preserve"> אם הגיש תצהיר או חוות דעת, </w:t>
      </w:r>
      <w:r w:rsidRPr="0096007F">
        <w:rPr>
          <w:rFonts w:ascii="David" w:hAnsi="David" w:cs="David" w:hint="cs"/>
          <w:b/>
          <w:bCs/>
          <w:color w:val="000000"/>
          <w:rtl/>
        </w:rPr>
        <w:t>ונאלצתי לתקן אותה בעת הכתבת פסה"ד</w:t>
      </w:r>
      <w:r w:rsidRPr="0096007F">
        <w:rPr>
          <w:rFonts w:ascii="David" w:hAnsi="David" w:cs="David" w:hint="cs"/>
          <w:color w:val="000000"/>
          <w:rtl/>
        </w:rPr>
        <w:t xml:space="preserve">, ואף לחדש לה שהגיש אפילו שתי חוות דעת ולא אחת </w:t>
      </w:r>
      <w:r w:rsidRPr="0096007F">
        <w:rPr>
          <w:rFonts w:ascii="David" w:hAnsi="David" w:cs="David" w:hint="cs"/>
          <w:b/>
          <w:bCs/>
          <w:color w:val="000000"/>
          <w:rtl/>
        </w:rPr>
        <w:t>(נ/3 עמ' 15 ש' 13-21)</w:t>
      </w:r>
      <w:r w:rsidRPr="0096007F">
        <w:rPr>
          <w:rFonts w:ascii="David" w:hAnsi="David" w:cs="David" w:hint="cs"/>
          <w:color w:val="000000"/>
          <w:rtl/>
        </w:rPr>
        <w:t xml:space="preserve">, והמעורים בפרטי ההליך יבחינו מיד שפסה"ד ריק מכל תוכן ממשי שכן כל כולו לא רלוונטי כלל ו/או לא עונה כלל לטענות ולנימוקי הערעור אלא רק שכתוב והעתקת מפס"ד קמא, </w:t>
      </w:r>
      <w:r w:rsidRPr="0096007F">
        <w:rPr>
          <w:rFonts w:ascii="David" w:hAnsi="David" w:cs="David" w:hint="cs"/>
          <w:b/>
          <w:bCs/>
          <w:color w:val="000000"/>
          <w:u w:val="single"/>
          <w:rtl/>
        </w:rPr>
        <w:t>כולל הטעויות.</w:t>
      </w:r>
    </w:p>
    <w:p w:rsidR="005B0CB6" w:rsidRPr="0096007F" w:rsidRDefault="005B0CB6" w:rsidP="00D94F55">
      <w:pPr>
        <w:pStyle w:val="ListParagraph"/>
        <w:widowControl w:val="0"/>
        <w:numPr>
          <w:ilvl w:val="0"/>
          <w:numId w:val="2"/>
        </w:numPr>
        <w:shd w:val="clear" w:color="auto" w:fill="FFFFFF"/>
        <w:tabs>
          <w:tab w:val="right" w:pos="8640"/>
        </w:tabs>
        <w:bidi/>
        <w:spacing w:before="120" w:line="360" w:lineRule="auto"/>
        <w:ind w:left="91" w:hanging="425"/>
        <w:contextualSpacing w:val="0"/>
        <w:jc w:val="both"/>
        <w:rPr>
          <w:rFonts w:ascii="David" w:hAnsi="David" w:cs="David"/>
          <w:color w:val="000000"/>
        </w:rPr>
      </w:pPr>
      <w:r w:rsidRPr="0096007F">
        <w:rPr>
          <w:rFonts w:ascii="David" w:hAnsi="David" w:cs="David" w:hint="cs"/>
          <w:color w:val="000000"/>
          <w:rtl/>
        </w:rPr>
        <w:t xml:space="preserve">כלומר </w:t>
      </w:r>
      <w:r w:rsidRPr="0096007F">
        <w:rPr>
          <w:rFonts w:ascii="David" w:hAnsi="David" w:cs="David"/>
          <w:color w:val="000000"/>
          <w:rtl/>
        </w:rPr>
        <w:t>–</w:t>
      </w:r>
      <w:r w:rsidRPr="0096007F">
        <w:rPr>
          <w:rFonts w:ascii="David" w:hAnsi="David" w:cs="David" w:hint="cs"/>
          <w:color w:val="000000"/>
          <w:rtl/>
        </w:rPr>
        <w:t xml:space="preserve"> לא היה בכלל הליך ערעורי </w:t>
      </w:r>
      <w:r w:rsidRPr="0096007F">
        <w:rPr>
          <w:rFonts w:ascii="David" w:hAnsi="David" w:cs="David"/>
          <w:color w:val="000000"/>
          <w:rtl/>
        </w:rPr>
        <w:t>–</w:t>
      </w:r>
      <w:r w:rsidR="0068034F" w:rsidRPr="0096007F">
        <w:rPr>
          <w:rFonts w:ascii="David" w:hAnsi="David" w:cs="David" w:hint="cs"/>
          <w:color w:val="000000"/>
          <w:rtl/>
        </w:rPr>
        <w:t xml:space="preserve"> לפיכך, </w:t>
      </w:r>
      <w:r w:rsidR="0068034F" w:rsidRPr="0096007F">
        <w:rPr>
          <w:rFonts w:ascii="David" w:hAnsi="David" w:cs="David" w:hint="cs"/>
          <w:b/>
          <w:bCs/>
          <w:color w:val="000000"/>
          <w:rtl/>
        </w:rPr>
        <w:t>הדבר שקול לערעור חוזר בגלגול שני</w:t>
      </w:r>
      <w:r w:rsidR="0068034F" w:rsidRPr="0096007F">
        <w:rPr>
          <w:rFonts w:ascii="David" w:hAnsi="David" w:cs="David" w:hint="cs"/>
          <w:color w:val="000000"/>
          <w:rtl/>
        </w:rPr>
        <w:t xml:space="preserve">, </w:t>
      </w:r>
      <w:r w:rsidRPr="0096007F">
        <w:rPr>
          <w:rFonts w:ascii="David" w:hAnsi="David" w:cs="David" w:hint="cs"/>
          <w:color w:val="000000"/>
          <w:rtl/>
        </w:rPr>
        <w:t xml:space="preserve">ולכן יש </w:t>
      </w:r>
      <w:r w:rsidR="0068034F" w:rsidRPr="0096007F">
        <w:rPr>
          <w:rFonts w:ascii="David" w:hAnsi="David" w:cs="David" w:hint="cs"/>
          <w:color w:val="000000"/>
          <w:rtl/>
        </w:rPr>
        <w:t>לעשות את העבודה שלא נעשתה</w:t>
      </w:r>
      <w:r w:rsidR="00606D5D" w:rsidRPr="0096007F">
        <w:rPr>
          <w:rFonts w:ascii="David" w:hAnsi="David" w:cs="David" w:hint="cs"/>
          <w:color w:val="000000"/>
          <w:rtl/>
        </w:rPr>
        <w:t>.</w:t>
      </w:r>
    </w:p>
    <w:p w:rsidR="00E6305C" w:rsidRPr="0096007F" w:rsidRDefault="00E6305C" w:rsidP="00D94F55">
      <w:pPr>
        <w:pStyle w:val="ListParagraph"/>
        <w:widowControl w:val="0"/>
        <w:numPr>
          <w:ilvl w:val="0"/>
          <w:numId w:val="2"/>
        </w:numPr>
        <w:bidi/>
        <w:spacing w:before="120" w:line="353" w:lineRule="auto"/>
        <w:ind w:left="91" w:hanging="567"/>
        <w:contextualSpacing w:val="0"/>
        <w:jc w:val="both"/>
        <w:rPr>
          <w:rFonts w:ascii="David" w:hAnsi="David" w:cs="David"/>
        </w:rPr>
      </w:pPr>
      <w:r w:rsidRPr="0096007F">
        <w:rPr>
          <w:rFonts w:ascii="David" w:hAnsi="David" w:cs="David" w:hint="cs"/>
          <w:rtl/>
        </w:rPr>
        <w:t xml:space="preserve">לאור חזקת מחדל הקריאה והבקיאות, כב' הש' (עמיתה) דותן </w:t>
      </w:r>
      <w:r w:rsidR="00AD7ED5" w:rsidRPr="0096007F">
        <w:rPr>
          <w:rFonts w:ascii="David" w:hAnsi="David" w:cs="David" w:hint="cs"/>
          <w:rtl/>
        </w:rPr>
        <w:t xml:space="preserve">טעתה בפסה"ד בכל הקשור לקבלת התצהיר כראיה נוספת בערעור, כי </w:t>
      </w:r>
      <w:r w:rsidRPr="0096007F">
        <w:rPr>
          <w:rFonts w:ascii="David" w:hAnsi="David" w:cs="David" w:hint="cs"/>
          <w:rtl/>
        </w:rPr>
        <w:t xml:space="preserve">לא ידעה ו/או לא הבינה כלל מה למה ביקשתי לקבל את התצהיר כראיה נוספת בערעור, ולפיכך, ולהלן ההסבר </w:t>
      </w:r>
      <w:r w:rsidR="00AD7ED5" w:rsidRPr="0096007F">
        <w:rPr>
          <w:rFonts w:ascii="David" w:hAnsi="David" w:cs="David" w:hint="cs"/>
          <w:rtl/>
        </w:rPr>
        <w:t>ש</w:t>
      </w:r>
      <w:r w:rsidR="00AE5F3E" w:rsidRPr="0096007F">
        <w:rPr>
          <w:rFonts w:ascii="David" w:hAnsi="David" w:cs="David" w:hint="cs"/>
          <w:rtl/>
        </w:rPr>
        <w:t xml:space="preserve">בפרק </w:t>
      </w:r>
      <w:r w:rsidR="00AE5F3E" w:rsidRPr="0096007F">
        <w:rPr>
          <w:rFonts w:ascii="David" w:hAnsi="David" w:cs="David" w:hint="cs"/>
          <w:b/>
          <w:bCs/>
          <w:rtl/>
        </w:rPr>
        <w:t>"פירוט נימוקי קבלת התצהיר והראיות"</w:t>
      </w:r>
      <w:r w:rsidR="00AE5F3E" w:rsidRPr="0096007F">
        <w:rPr>
          <w:rFonts w:ascii="David" w:hAnsi="David" w:cs="David" w:hint="cs"/>
          <w:rtl/>
        </w:rPr>
        <w:t xml:space="preserve">, סע' 14-38 לבקשה, </w:t>
      </w:r>
      <w:r w:rsidR="00D71D5D" w:rsidRPr="0096007F">
        <w:rPr>
          <w:rFonts w:ascii="David" w:hAnsi="David" w:cs="David" w:hint="cs"/>
          <w:rtl/>
        </w:rPr>
        <w:t>ו</w:t>
      </w:r>
      <w:r w:rsidR="00AE5F3E" w:rsidRPr="0096007F">
        <w:rPr>
          <w:rFonts w:ascii="David" w:hAnsi="David" w:cs="David" w:hint="cs"/>
          <w:rtl/>
        </w:rPr>
        <w:t xml:space="preserve">להלן </w:t>
      </w:r>
      <w:r w:rsidR="00AD7ED5" w:rsidRPr="0096007F">
        <w:rPr>
          <w:rFonts w:ascii="David" w:hAnsi="David" w:cs="David" w:hint="cs"/>
          <w:rtl/>
        </w:rPr>
        <w:t xml:space="preserve">עיקריהם שבסע' 14 לבקשה עם </w:t>
      </w:r>
      <w:r w:rsidR="00AE5F3E" w:rsidRPr="0096007F">
        <w:rPr>
          <w:rFonts w:ascii="David" w:hAnsi="David" w:cs="David" w:hint="cs"/>
          <w:rtl/>
        </w:rPr>
        <w:t>מעט הרחבות</w:t>
      </w:r>
      <w:r w:rsidR="00D71D5D" w:rsidRPr="0096007F">
        <w:rPr>
          <w:rFonts w:ascii="David" w:hAnsi="David" w:cs="David" w:hint="cs"/>
          <w:rtl/>
        </w:rPr>
        <w:t>:</w:t>
      </w:r>
    </w:p>
    <w:p w:rsidR="00E6305C" w:rsidRPr="0096007F" w:rsidRDefault="00E6305C" w:rsidP="00D94F55">
      <w:pPr>
        <w:pStyle w:val="ListParagraph"/>
        <w:widowControl w:val="0"/>
        <w:numPr>
          <w:ilvl w:val="0"/>
          <w:numId w:val="2"/>
        </w:numPr>
        <w:bidi/>
        <w:spacing w:before="120" w:line="353" w:lineRule="auto"/>
        <w:ind w:left="91" w:hanging="567"/>
        <w:contextualSpacing w:val="0"/>
        <w:jc w:val="both"/>
        <w:rPr>
          <w:rFonts w:ascii="David" w:hAnsi="David" w:cs="David"/>
        </w:rPr>
      </w:pPr>
      <w:r w:rsidRPr="0096007F">
        <w:rPr>
          <w:rFonts w:ascii="David" w:hAnsi="David" w:cs="David"/>
          <w:b/>
          <w:bCs/>
          <w:u w:val="single"/>
          <w:rtl/>
        </w:rPr>
        <w:t xml:space="preserve">ביקשתי </w:t>
      </w:r>
      <w:r w:rsidRPr="0096007F">
        <w:rPr>
          <w:rFonts w:ascii="David" w:hAnsi="David" w:cs="David" w:hint="cs"/>
          <w:b/>
          <w:bCs/>
          <w:u w:val="single"/>
          <w:rtl/>
        </w:rPr>
        <w:t xml:space="preserve">בהליך הערעור וכן בבקשה זאת </w:t>
      </w:r>
      <w:r w:rsidRPr="0096007F">
        <w:rPr>
          <w:rFonts w:ascii="David" w:hAnsi="David" w:cs="David"/>
          <w:b/>
          <w:bCs/>
          <w:u w:val="single"/>
          <w:rtl/>
        </w:rPr>
        <w:t>לקבל בערעור את התצהיר והראיות</w:t>
      </w:r>
      <w:r w:rsidRPr="0096007F">
        <w:rPr>
          <w:rFonts w:ascii="David" w:hAnsi="David" w:cs="David" w:hint="cs"/>
          <w:b/>
          <w:bCs/>
          <w:u w:val="single"/>
          <w:rtl/>
        </w:rPr>
        <w:t xml:space="preserve"> </w:t>
      </w:r>
      <w:r w:rsidRPr="0096007F">
        <w:rPr>
          <w:rFonts w:ascii="David" w:hAnsi="David" w:cs="David"/>
          <w:rtl/>
        </w:rPr>
        <w:t xml:space="preserve"> </w:t>
      </w:r>
      <w:r w:rsidRPr="0096007F">
        <w:rPr>
          <w:rFonts w:ascii="David" w:hAnsi="David" w:cs="David" w:hint="cs"/>
          <w:b/>
          <w:bCs/>
          <w:rtl/>
        </w:rPr>
        <w:t>(א)</w:t>
      </w:r>
      <w:r w:rsidRPr="0096007F">
        <w:rPr>
          <w:rFonts w:ascii="David" w:hAnsi="David" w:cs="David" w:hint="cs"/>
          <w:rtl/>
        </w:rPr>
        <w:t xml:space="preserve"> כדי שביהמ"ש יוכל להיווכח בעצמו שנימוקי השופט תמיר לאי רלוונטיות סעיפים והראיות אינן אמת, וזו הסיבה שהשופט קמא וגם לא השופטת הערעור וגם לא אף אחד מבאי כוח המשיבים לא הצביעו על סעיף אחד או ראיה אחת מיותרים </w:t>
      </w:r>
      <w:r w:rsidRPr="0096007F">
        <w:rPr>
          <w:rFonts w:ascii="David" w:hAnsi="David" w:cs="David" w:hint="cs"/>
          <w:b/>
          <w:bCs/>
          <w:rtl/>
        </w:rPr>
        <w:t>(ב)</w:t>
      </w:r>
      <w:r w:rsidRPr="0096007F">
        <w:rPr>
          <w:rFonts w:ascii="David" w:hAnsi="David" w:cs="David" w:hint="cs"/>
          <w:rtl/>
        </w:rPr>
        <w:t xml:space="preserve"> יש בכוחן להפוך את פסה"ד בהיותן מוכיחות את התביעה במלואה ע"פ מאזן ההסתברויות וע"פ מגמת ביהמ"ש למעבר מקבילות למשקל , </w:t>
      </w:r>
      <w:r w:rsidRPr="0096007F">
        <w:rPr>
          <w:rFonts w:ascii="David" w:hAnsi="David" w:cs="David" w:hint="cs"/>
          <w:b/>
          <w:bCs/>
          <w:rtl/>
        </w:rPr>
        <w:t>(ג)</w:t>
      </w:r>
      <w:r w:rsidRPr="0096007F">
        <w:rPr>
          <w:rFonts w:ascii="David" w:hAnsi="David" w:cs="David" w:hint="cs"/>
          <w:rtl/>
        </w:rPr>
        <w:t xml:space="preserve"> הדבר יביא לגילוי האמת ועשיית צדק </w:t>
      </w:r>
      <w:r w:rsidRPr="0096007F">
        <w:rPr>
          <w:rFonts w:ascii="David" w:hAnsi="David" w:cs="David" w:hint="cs"/>
          <w:b/>
          <w:bCs/>
          <w:rtl/>
        </w:rPr>
        <w:t>(ד)</w:t>
      </w:r>
      <w:r w:rsidRPr="0096007F">
        <w:rPr>
          <w:rFonts w:ascii="David" w:hAnsi="David" w:cs="David" w:hint="cs"/>
          <w:rtl/>
        </w:rPr>
        <w:t xml:space="preserve"> השופט תמיר מנע ממני להביאם, הכשיל אותי בדיון ההוכחות והכשיל את התובענה ביודעין. </w:t>
      </w:r>
      <w:r w:rsidRPr="0096007F">
        <w:rPr>
          <w:rFonts w:ascii="David" w:hAnsi="David" w:cs="David" w:hint="cs"/>
          <w:b/>
          <w:bCs/>
          <w:rtl/>
        </w:rPr>
        <w:t>(ה)</w:t>
      </w:r>
      <w:r w:rsidRPr="0096007F">
        <w:rPr>
          <w:rFonts w:ascii="David" w:hAnsi="David" w:cs="David" w:hint="cs"/>
          <w:rtl/>
        </w:rPr>
        <w:t xml:space="preserve"> סתירת נימוקי ההחלטה מיום 13.12.15 בה סירב השופט תמיר לקבל את התצהיר והנספחים (ראו נ/7 תוך הפניה לנספחי נ/5 ונספחים 1-4, 8, 9, לנ/29, וכן נ/8, נ/9 ו-נ/10 לנספחי הבר"ע). </w:t>
      </w:r>
      <w:r w:rsidRPr="0096007F">
        <w:rPr>
          <w:rFonts w:ascii="David" w:hAnsi="David" w:cs="David" w:hint="cs"/>
          <w:b/>
          <w:bCs/>
          <w:rtl/>
        </w:rPr>
        <w:t>(ו)</w:t>
      </w:r>
      <w:r w:rsidRPr="0096007F">
        <w:rPr>
          <w:rFonts w:ascii="David" w:hAnsi="David" w:cs="David" w:hint="cs"/>
          <w:rtl/>
        </w:rPr>
        <w:t xml:space="preserve"> להראות שתצהיר מוכיח את כל שהיה עלי להוכיח במסגרת התביעה, ולאור חלק מנימוקי הבקשה לקבלת ראיות נוספות בערעור לפיהן לא ניתן היה לסמוך על חקירת הנתבעים שעה שחלקם פסולי דין ע"פ עדות עו"ד לוי (ראיות במסגרת התצהיר ונספחיו), וחלקם משקרים בעדות</w:t>
      </w:r>
      <w:r w:rsidR="00AE5F3E" w:rsidRPr="0096007F">
        <w:rPr>
          <w:rFonts w:ascii="David" w:hAnsi="David" w:cs="David" w:hint="cs"/>
          <w:rtl/>
        </w:rPr>
        <w:t xml:space="preserve">ם ובחקירתם, הכל כמפורט ומנומק בתמיכת תצהיר </w:t>
      </w:r>
      <w:r w:rsidR="00AE5F3E" w:rsidRPr="0096007F">
        <w:rPr>
          <w:rFonts w:ascii="David" w:hAnsi="David" w:cs="David" w:hint="cs"/>
          <w:rtl/>
        </w:rPr>
        <w:lastRenderedPageBreak/>
        <w:t xml:space="preserve">ואסמכתאות ונספחים שצורפו לבקשה המקורית </w:t>
      </w:r>
      <w:r w:rsidR="00AE5F3E" w:rsidRPr="0096007F">
        <w:rPr>
          <w:rFonts w:ascii="David" w:hAnsi="David" w:cs="David" w:hint="cs"/>
          <w:b/>
          <w:bCs/>
          <w:rtl/>
        </w:rPr>
        <w:t>(נ/5)</w:t>
      </w:r>
      <w:r w:rsidR="00AE5F3E" w:rsidRPr="0096007F">
        <w:rPr>
          <w:rFonts w:ascii="David" w:hAnsi="David" w:cs="David" w:hint="cs"/>
          <w:rtl/>
        </w:rPr>
        <w:t>.</w:t>
      </w:r>
    </w:p>
    <w:p w:rsidR="00A80D3A" w:rsidRPr="0096007F" w:rsidRDefault="00A80D3A" w:rsidP="00D94F55">
      <w:pPr>
        <w:pStyle w:val="ListParagraph"/>
        <w:widowControl w:val="0"/>
        <w:numPr>
          <w:ilvl w:val="0"/>
          <w:numId w:val="2"/>
        </w:numPr>
        <w:bidi/>
        <w:spacing w:before="120" w:line="353" w:lineRule="auto"/>
        <w:ind w:left="91" w:hanging="567"/>
        <w:contextualSpacing w:val="0"/>
        <w:jc w:val="both"/>
        <w:rPr>
          <w:rFonts w:ascii="David" w:hAnsi="David" w:cs="David"/>
        </w:rPr>
      </w:pPr>
      <w:r w:rsidRPr="0096007F">
        <w:rPr>
          <w:rFonts w:ascii="David" w:hAnsi="David" w:cs="David" w:hint="cs"/>
          <w:rtl/>
        </w:rPr>
        <w:t>וכפי שניתן להיווכח מכתבי הטענות (</w:t>
      </w:r>
      <w:r w:rsidRPr="0096007F">
        <w:rPr>
          <w:rFonts w:ascii="David" w:hAnsi="David" w:cs="David" w:hint="cs"/>
          <w:b/>
          <w:bCs/>
          <w:rtl/>
        </w:rPr>
        <w:t>נ/27-מ/1, מ/2, מ/3, מ/4) ומהרחבות החזית בהליך קמא</w:t>
      </w:r>
      <w:r w:rsidRPr="0096007F">
        <w:rPr>
          <w:rFonts w:ascii="David" w:hAnsi="David" w:cs="David" w:hint="cs"/>
          <w:rtl/>
        </w:rPr>
        <w:t>, התצהיר נועד להוכיח</w:t>
      </w:r>
      <w:r w:rsidRPr="0096007F">
        <w:rPr>
          <w:rFonts w:ascii="David" w:hAnsi="David" w:cs="David"/>
          <w:rtl/>
        </w:rPr>
        <w:t xml:space="preserve"> </w:t>
      </w:r>
      <w:r w:rsidRPr="0096007F">
        <w:rPr>
          <w:rFonts w:ascii="David" w:hAnsi="David" w:cs="David" w:hint="cs"/>
          <w:rtl/>
        </w:rPr>
        <w:t xml:space="preserve">את </w:t>
      </w:r>
      <w:r w:rsidRPr="0096007F">
        <w:rPr>
          <w:rFonts w:ascii="David" w:hAnsi="David" w:cs="David"/>
          <w:rtl/>
        </w:rPr>
        <w:t xml:space="preserve">כל העילות והסעדים </w:t>
      </w:r>
      <w:r w:rsidRPr="0096007F">
        <w:rPr>
          <w:rFonts w:ascii="David" w:hAnsi="David" w:cs="David" w:hint="cs"/>
          <w:rtl/>
        </w:rPr>
        <w:t>ש</w:t>
      </w:r>
      <w:r w:rsidRPr="0096007F">
        <w:rPr>
          <w:rFonts w:ascii="David" w:hAnsi="David" w:cs="David"/>
          <w:rtl/>
        </w:rPr>
        <w:t>בתביעה</w:t>
      </w:r>
      <w:r w:rsidRPr="0096007F">
        <w:rPr>
          <w:rFonts w:ascii="David" w:hAnsi="David" w:cs="David" w:hint="cs"/>
          <w:rtl/>
        </w:rPr>
        <w:t>,</w:t>
      </w:r>
      <w:r w:rsidRPr="0096007F">
        <w:rPr>
          <w:rFonts w:ascii="David" w:hAnsi="David" w:cs="David"/>
          <w:rtl/>
        </w:rPr>
        <w:t xml:space="preserve"> </w:t>
      </w:r>
      <w:r w:rsidRPr="0096007F">
        <w:rPr>
          <w:rFonts w:ascii="David" w:hAnsi="David" w:cs="David" w:hint="cs"/>
          <w:rtl/>
        </w:rPr>
        <w:t xml:space="preserve">לרבות אחריותו האישית של </w:t>
      </w:r>
      <w:r w:rsidRPr="0096007F">
        <w:rPr>
          <w:rFonts w:ascii="David" w:hAnsi="David" w:cs="David" w:hint="cs"/>
          <w:b/>
          <w:bCs/>
          <w:u w:val="single"/>
          <w:rtl/>
        </w:rPr>
        <w:t>כל אחד מ-9 הנתבעים לחוד</w:t>
      </w:r>
      <w:r w:rsidRPr="0096007F">
        <w:rPr>
          <w:rFonts w:ascii="David" w:hAnsi="David" w:cs="David" w:hint="cs"/>
          <w:rtl/>
        </w:rPr>
        <w:t xml:space="preserve">, ואת היותם </w:t>
      </w:r>
      <w:r w:rsidRPr="0096007F">
        <w:rPr>
          <w:rFonts w:ascii="David" w:hAnsi="David" w:cs="David"/>
          <w:b/>
          <w:bCs/>
          <w:rtl/>
        </w:rPr>
        <w:t>מעוולים במשותף</w:t>
      </w:r>
      <w:r w:rsidRPr="0096007F">
        <w:rPr>
          <w:rFonts w:ascii="David" w:hAnsi="David" w:cs="David"/>
          <w:rtl/>
        </w:rPr>
        <w:t>, ו</w:t>
      </w:r>
      <w:r w:rsidRPr="0096007F">
        <w:rPr>
          <w:rFonts w:ascii="David" w:hAnsi="David" w:cs="David" w:hint="cs"/>
          <w:rtl/>
        </w:rPr>
        <w:t xml:space="preserve">את </w:t>
      </w:r>
      <w:r w:rsidRPr="0096007F">
        <w:rPr>
          <w:rFonts w:ascii="David" w:hAnsi="David" w:cs="David" w:hint="cs"/>
          <w:b/>
          <w:bCs/>
          <w:rtl/>
        </w:rPr>
        <w:t>ה</w:t>
      </w:r>
      <w:r w:rsidRPr="0096007F">
        <w:rPr>
          <w:rFonts w:ascii="David" w:hAnsi="David" w:cs="David"/>
          <w:b/>
          <w:bCs/>
          <w:rtl/>
        </w:rPr>
        <w:t>קנוניה</w:t>
      </w:r>
      <w:r w:rsidRPr="0096007F">
        <w:rPr>
          <w:rFonts w:ascii="David" w:hAnsi="David" w:cs="David"/>
          <w:rtl/>
        </w:rPr>
        <w:t xml:space="preserve"> ביניהם </w:t>
      </w:r>
      <w:r w:rsidRPr="0096007F">
        <w:rPr>
          <w:rFonts w:ascii="David" w:hAnsi="David" w:cs="David" w:hint="cs"/>
          <w:rtl/>
        </w:rPr>
        <w:t>כנגדי</w:t>
      </w:r>
      <w:r w:rsidRPr="0096007F">
        <w:rPr>
          <w:rFonts w:ascii="David" w:hAnsi="David" w:cs="David"/>
          <w:rtl/>
        </w:rPr>
        <w:t xml:space="preserve">, התנכלות </w:t>
      </w:r>
      <w:r w:rsidRPr="0096007F">
        <w:rPr>
          <w:rFonts w:ascii="David" w:hAnsi="David" w:cs="David"/>
          <w:b/>
          <w:bCs/>
          <w:u w:val="single"/>
          <w:rtl/>
        </w:rPr>
        <w:t>מכוונת</w:t>
      </w:r>
      <w:r w:rsidRPr="0096007F">
        <w:rPr>
          <w:rFonts w:ascii="David" w:hAnsi="David" w:cs="David"/>
          <w:rtl/>
        </w:rPr>
        <w:t>, התעמרות, ניסיו</w:t>
      </w:r>
      <w:r w:rsidRPr="0096007F">
        <w:rPr>
          <w:rFonts w:ascii="David" w:hAnsi="David" w:cs="David" w:hint="cs"/>
          <w:rtl/>
        </w:rPr>
        <w:t>נות</w:t>
      </w:r>
      <w:r w:rsidRPr="0096007F">
        <w:rPr>
          <w:rFonts w:ascii="David" w:hAnsi="David" w:cs="David"/>
          <w:rtl/>
        </w:rPr>
        <w:t xml:space="preserve"> מרמה, חוסר אכפתיות ואדישות מכוונים, </w:t>
      </w:r>
      <w:r w:rsidRPr="0096007F">
        <w:rPr>
          <w:rFonts w:ascii="David" w:hAnsi="David" w:cs="David" w:hint="cs"/>
          <w:rtl/>
        </w:rPr>
        <w:t>סתירת טענת ה</w:t>
      </w:r>
      <w:r w:rsidRPr="0096007F">
        <w:rPr>
          <w:rFonts w:ascii="David" w:hAnsi="David" w:cs="David"/>
          <w:rtl/>
        </w:rPr>
        <w:t xml:space="preserve">התיישנות, רשלנות, הפרת חובה חקוקה, </w:t>
      </w:r>
      <w:r w:rsidRPr="0096007F">
        <w:rPr>
          <w:rFonts w:ascii="David" w:hAnsi="David" w:cs="David" w:hint="cs"/>
          <w:rtl/>
        </w:rPr>
        <w:t xml:space="preserve">זדון, הקטנת נזק, </w:t>
      </w:r>
      <w:r w:rsidRPr="0096007F">
        <w:rPr>
          <w:rFonts w:ascii="David" w:hAnsi="David" w:cs="David"/>
          <w:rtl/>
        </w:rPr>
        <w:t>כלל הדבר מדבר בעד עצמו, הגשת מסמכים מזויפים לערכאות שיפוטיות, תחום טכני מורכב שדורש חוו</w:t>
      </w:r>
      <w:r w:rsidRPr="0096007F">
        <w:rPr>
          <w:rFonts w:ascii="David" w:hAnsi="David" w:cs="David" w:hint="cs"/>
          <w:rtl/>
        </w:rPr>
        <w:t>"ד</w:t>
      </w:r>
      <w:r w:rsidRPr="0096007F">
        <w:rPr>
          <w:rFonts w:ascii="David" w:hAnsi="David" w:cs="David"/>
          <w:rtl/>
        </w:rPr>
        <w:t xml:space="preserve"> רבות</w:t>
      </w:r>
      <w:r w:rsidRPr="0096007F">
        <w:rPr>
          <w:rFonts w:ascii="David" w:hAnsi="David" w:cs="David" w:hint="cs"/>
          <w:rtl/>
        </w:rPr>
        <w:t>,</w:t>
      </w:r>
      <w:r w:rsidRPr="0096007F">
        <w:rPr>
          <w:rFonts w:ascii="David" w:hAnsi="David" w:cs="David"/>
          <w:rtl/>
        </w:rPr>
        <w:t xml:space="preserve"> </w:t>
      </w:r>
      <w:r w:rsidRPr="0096007F">
        <w:rPr>
          <w:rFonts w:ascii="David" w:hAnsi="David" w:cs="David" w:hint="cs"/>
          <w:rtl/>
        </w:rPr>
        <w:t xml:space="preserve">נזק ממוני ולא ממוני, </w:t>
      </w:r>
      <w:r w:rsidRPr="0096007F">
        <w:rPr>
          <w:rFonts w:ascii="David" w:hAnsi="David" w:cs="David"/>
          <w:rtl/>
        </w:rPr>
        <w:t xml:space="preserve">ביחוד </w:t>
      </w:r>
      <w:r w:rsidRPr="0096007F">
        <w:rPr>
          <w:rFonts w:ascii="David" w:hAnsi="David" w:cs="David" w:hint="cs"/>
          <w:rtl/>
        </w:rPr>
        <w:t>כשע"פ פסיקת ביהמ"ש העליון, הפיצוי בגין נזק לא ממוני עולה במקרה של כוונה וזדון, וכן ראיות הסותרות ומפריכות את טענות ההגנה וחלק גלול מהתצהיר ונספחיו הם מענה לשאלות השופט תמיר בהליך וסתירת חלק גדול מטענותיו, לכן פסל את התצהיר, וכן ראיות לשאלות חקירה נגדית שידעתי שאשאל, וכן ראיות ותצהירים של הצדדים שכנגד המוכיחות הודאות בעל דין של כל היבט של התביעה, ובמיוחד הרעש ועוצמתו.</w:t>
      </w:r>
    </w:p>
    <w:p w:rsidR="00957558" w:rsidRPr="0096007F" w:rsidRDefault="00957558" w:rsidP="00D94F55">
      <w:pPr>
        <w:pStyle w:val="ListParagraph"/>
        <w:numPr>
          <w:ilvl w:val="0"/>
          <w:numId w:val="2"/>
        </w:numPr>
        <w:bidi/>
        <w:spacing w:before="120" w:line="353" w:lineRule="auto"/>
        <w:ind w:left="91" w:hanging="567"/>
        <w:contextualSpacing w:val="0"/>
        <w:jc w:val="both"/>
        <w:rPr>
          <w:rFonts w:ascii="David" w:hAnsi="David" w:cs="David"/>
        </w:rPr>
      </w:pPr>
      <w:r w:rsidRPr="0096007F">
        <w:rPr>
          <w:rFonts w:ascii="David" w:hAnsi="David" w:cs="David" w:hint="cs"/>
          <w:rtl/>
        </w:rPr>
        <w:t>מטרת קבלת התצהיר היא גם כדי לתקן את הבסיס העובדתי, בהיותו מוכיח את כל התביעה ע"פ מאזן ההסתברויות, ובחלקו אף במעבר לכל ספק סביר ולאור מגמת הפסיקה לעבור מקבילות למשקל כטענת המשיבה 1 ע"י המתחזק אביב ניהול בע"מ שייצג אותה בהליך במפני המפקחת על המקרקעין בתיק 39/19 וטענתם התקבלה, לפיכך קיים השתק שיפוטי ככל שיטענו כנגד המעבר מקבילות למשקל.</w:t>
      </w:r>
    </w:p>
    <w:p w:rsidR="00957558" w:rsidRPr="0096007F" w:rsidRDefault="00957558" w:rsidP="00D94F55">
      <w:pPr>
        <w:pStyle w:val="ListParagraph"/>
        <w:numPr>
          <w:ilvl w:val="0"/>
          <w:numId w:val="2"/>
        </w:numPr>
        <w:bidi/>
        <w:spacing w:before="120" w:line="353" w:lineRule="auto"/>
        <w:ind w:left="91" w:hanging="567"/>
        <w:contextualSpacing w:val="0"/>
        <w:jc w:val="both"/>
        <w:rPr>
          <w:rFonts w:ascii="David" w:hAnsi="David" w:cs="David"/>
        </w:rPr>
      </w:pPr>
      <w:r w:rsidRPr="0096007F">
        <w:rPr>
          <w:rFonts w:ascii="David" w:hAnsi="David" w:cs="David" w:hint="cs"/>
          <w:rtl/>
        </w:rPr>
        <w:t xml:space="preserve">טענת ההשתק השיפוטי מונעת מבעל דין לטעון טענות עובדתיות ומשפטיות סותרות בשני הליכים שונים או באותו הליך, במיוחד אם טענתו התקבלה (רע"א 4224/04 בית ששון בע"מ נ' </w:t>
      </w:r>
      <w:r w:rsidRPr="0096007F">
        <w:rPr>
          <w:rFonts w:ascii="David" w:hAnsi="David" w:cs="David" w:hint="cs"/>
          <w:b/>
          <w:bCs/>
          <w:rtl/>
        </w:rPr>
        <w:t>שיכון עובדים והשקעות בע"מ</w:t>
      </w:r>
      <w:r w:rsidRPr="0096007F">
        <w:rPr>
          <w:rFonts w:ascii="David" w:hAnsi="David" w:cs="David" w:hint="cs"/>
          <w:rtl/>
        </w:rPr>
        <w:t xml:space="preserve">) וגם אם טענתו לא התקבלה (ע"א 8687/13 </w:t>
      </w:r>
      <w:r w:rsidRPr="0096007F">
        <w:rPr>
          <w:rFonts w:ascii="David" w:hAnsi="David" w:cs="David" w:hint="cs"/>
          <w:b/>
          <w:bCs/>
          <w:rtl/>
        </w:rPr>
        <w:t xml:space="preserve">פלוני ואח' נ' </w:t>
      </w:r>
      <w:r w:rsidRPr="0096007F">
        <w:rPr>
          <w:rFonts w:ascii="David" w:hAnsi="David" w:cs="David"/>
          <w:b/>
          <w:bCs/>
          <w:rtl/>
        </w:rPr>
        <w:t>קרן המחקרים הרפואיים</w:t>
      </w:r>
      <w:r w:rsidRPr="0096007F">
        <w:rPr>
          <w:rFonts w:ascii="David" w:hAnsi="David" w:cs="David" w:hint="cs"/>
          <w:b/>
          <w:bCs/>
          <w:rtl/>
        </w:rPr>
        <w:t xml:space="preserve"> בתל השומר</w:t>
      </w:r>
      <w:r w:rsidRPr="0096007F">
        <w:rPr>
          <w:rFonts w:ascii="David" w:hAnsi="David" w:cs="David" w:hint="cs"/>
          <w:rtl/>
        </w:rPr>
        <w:t>).</w:t>
      </w:r>
    </w:p>
    <w:p w:rsidR="001D50D4" w:rsidRPr="0096007F" w:rsidRDefault="001D50D4" w:rsidP="00D94F55">
      <w:pPr>
        <w:pStyle w:val="ListParagraph"/>
        <w:numPr>
          <w:ilvl w:val="0"/>
          <w:numId w:val="2"/>
        </w:numPr>
        <w:bidi/>
        <w:spacing w:before="120" w:line="360" w:lineRule="auto"/>
        <w:ind w:left="91" w:hanging="567"/>
        <w:contextualSpacing w:val="0"/>
        <w:jc w:val="both"/>
        <w:rPr>
          <w:rFonts w:ascii="David" w:hAnsi="David" w:cs="David"/>
        </w:rPr>
      </w:pPr>
      <w:r w:rsidRPr="0096007F">
        <w:rPr>
          <w:rFonts w:ascii="David" w:hAnsi="David" w:cs="David" w:hint="cs"/>
          <w:rtl/>
        </w:rPr>
        <w:t xml:space="preserve">לאור חזקת מחדל הקריאה והבקיאות, כב' </w:t>
      </w:r>
      <w:r w:rsidR="00070E72" w:rsidRPr="0096007F">
        <w:rPr>
          <w:rFonts w:ascii="David" w:hAnsi="David" w:cs="David" w:hint="cs"/>
          <w:rtl/>
        </w:rPr>
        <w:t xml:space="preserve">הש' (עמיתה) דותן לא קראה, ונתנה בפסה"ד קביעות שטחיות כשברור שלא בחנה כלל אם יש בראיות הנוספות להשפיע על התוצאה, </w:t>
      </w:r>
      <w:r w:rsidR="00070E72" w:rsidRPr="0096007F">
        <w:rPr>
          <w:rFonts w:ascii="David" w:hAnsi="David" w:cs="David" w:hint="cs"/>
          <w:b/>
          <w:bCs/>
          <w:u w:val="single"/>
          <w:rtl/>
        </w:rPr>
        <w:t>וברור שהן משפיעות</w:t>
      </w:r>
      <w:r w:rsidR="00070E72" w:rsidRPr="0096007F">
        <w:rPr>
          <w:rFonts w:ascii="David" w:hAnsi="David" w:cs="David" w:hint="cs"/>
          <w:rtl/>
        </w:rPr>
        <w:t xml:space="preserve">, שכן אחד מנימוקיה לדחיית מדידות המומחה ברמן היה כי לא צורף פירוט המדידות, אולם ע"פ הפסיקה (ראו פסיקה מצוטטת בבקשה </w:t>
      </w:r>
      <w:r w:rsidR="00070E72" w:rsidRPr="0096007F">
        <w:rPr>
          <w:rFonts w:ascii="David" w:hAnsi="David" w:cs="David"/>
          <w:rtl/>
        </w:rPr>
        <w:t>–</w:t>
      </w:r>
      <w:r w:rsidR="00070E72" w:rsidRPr="0096007F">
        <w:rPr>
          <w:rFonts w:ascii="David" w:hAnsi="David" w:cs="David" w:hint="cs"/>
          <w:rtl/>
        </w:rPr>
        <w:t xml:space="preserve"> לפיה יש לקבל את הראיות הנוספות אם בכוחן להשפיע על התוצאה), וע"פ תקנה 144 ו-144(2) לתקנות היה על ביהמ"ש לקבלן בהיותם סותרים ומבטלים אחד משני הנימוקים לדחיית מדידות המומחה</w:t>
      </w:r>
      <w:r w:rsidRPr="0096007F">
        <w:rPr>
          <w:rFonts w:ascii="David" w:hAnsi="David" w:cs="David" w:hint="cs"/>
          <w:rtl/>
        </w:rPr>
        <w:t xml:space="preserve"> ברמן:</w:t>
      </w:r>
    </w:p>
    <w:p w:rsidR="001D50D4" w:rsidRPr="0096007F" w:rsidRDefault="001D50D4" w:rsidP="00D94F55">
      <w:pPr>
        <w:pStyle w:val="ListParagraph"/>
        <w:numPr>
          <w:ilvl w:val="0"/>
          <w:numId w:val="2"/>
        </w:numPr>
        <w:bidi/>
        <w:spacing w:before="120" w:line="360" w:lineRule="auto"/>
        <w:ind w:left="91" w:hanging="567"/>
        <w:contextualSpacing w:val="0"/>
        <w:jc w:val="both"/>
        <w:rPr>
          <w:rFonts w:ascii="David" w:hAnsi="David" w:cs="David"/>
        </w:rPr>
      </w:pPr>
      <w:r w:rsidRPr="0096007F">
        <w:rPr>
          <w:rFonts w:ascii="David" w:hAnsi="David" w:cs="David" w:hint="cs"/>
          <w:rtl/>
        </w:rPr>
        <w:t>הנימוק הראשון, כ</w:t>
      </w:r>
      <w:r w:rsidR="00070E72" w:rsidRPr="0096007F">
        <w:rPr>
          <w:rFonts w:ascii="David" w:hAnsi="David" w:cs="David" w:hint="cs"/>
          <w:rtl/>
        </w:rPr>
        <w:t xml:space="preserve">נטען בבר"ע, </w:t>
      </w:r>
      <w:r w:rsidRPr="0096007F">
        <w:rPr>
          <w:rFonts w:ascii="David" w:hAnsi="David" w:cs="David" w:hint="cs"/>
          <w:rtl/>
        </w:rPr>
        <w:t>הוא ש</w:t>
      </w:r>
      <w:r w:rsidR="00070E72" w:rsidRPr="0096007F">
        <w:rPr>
          <w:rFonts w:ascii="David" w:hAnsi="David" w:cs="David" w:hint="cs"/>
          <w:rtl/>
        </w:rPr>
        <w:t>למדידות הנוספות אין ערך ומשקל כי ע"פ תקן 1004 של מכון התקנים למדידת רעש מעליות שהתקבל בפסיקה (ת</w:t>
      </w:r>
      <w:r w:rsidR="00070E72" w:rsidRPr="0096007F">
        <w:rPr>
          <w:rFonts w:ascii="David" w:hAnsi="David" w:cs="David"/>
          <w:rtl/>
        </w:rPr>
        <w:t xml:space="preserve">"א 8641-09-12 </w:t>
      </w:r>
      <w:r w:rsidR="00070E72" w:rsidRPr="0096007F">
        <w:rPr>
          <w:rFonts w:ascii="David" w:hAnsi="David" w:cs="David"/>
          <w:b/>
          <w:bCs/>
          <w:rtl/>
        </w:rPr>
        <w:t>גוטליב נ' נציגות אברהם בויאר 20 ת"א</w:t>
      </w:r>
      <w:r w:rsidR="00070E72" w:rsidRPr="0096007F">
        <w:rPr>
          <w:rFonts w:ascii="David" w:hAnsi="David" w:cs="David" w:hint="cs"/>
          <w:b/>
          <w:bCs/>
          <w:rtl/>
        </w:rPr>
        <w:t xml:space="preserve">, </w:t>
      </w:r>
      <w:r w:rsidR="00070E72" w:rsidRPr="0096007F">
        <w:rPr>
          <w:rFonts w:ascii="David" w:hAnsi="David" w:cs="David" w:hint="cs"/>
          <w:rtl/>
        </w:rPr>
        <w:t>להלן:</w:t>
      </w:r>
      <w:r w:rsidR="00070E72" w:rsidRPr="0096007F">
        <w:rPr>
          <w:rFonts w:ascii="David" w:hAnsi="David" w:cs="David" w:hint="cs"/>
          <w:b/>
          <w:bCs/>
          <w:rtl/>
        </w:rPr>
        <w:t xml:space="preserve"> פסד גוטליב)</w:t>
      </w:r>
      <w:r w:rsidR="00070E72" w:rsidRPr="0096007F">
        <w:rPr>
          <w:rFonts w:ascii="David" w:hAnsi="David" w:cs="David" w:hint="cs"/>
          <w:rtl/>
        </w:rPr>
        <w:t xml:space="preserve">, ועל פי עדותו וחקירתו של המומחה (ראו פרק הדין והפרקטיקה </w:t>
      </w:r>
      <w:r w:rsidRPr="0096007F">
        <w:rPr>
          <w:rFonts w:ascii="David" w:hAnsi="David" w:cs="David" w:hint="cs"/>
          <w:rtl/>
        </w:rPr>
        <w:t>ל</w:t>
      </w:r>
      <w:r w:rsidR="00070E72" w:rsidRPr="0096007F">
        <w:rPr>
          <w:rFonts w:ascii="David" w:hAnsi="David" w:cs="David" w:hint="cs"/>
          <w:rtl/>
        </w:rPr>
        <w:t>מדידת רעש מעליות בסע' 40-49 לבר"ע) כי במעליות חשוב רק ערך ה</w:t>
      </w:r>
      <w:r w:rsidRPr="0096007F">
        <w:rPr>
          <w:rFonts w:ascii="David" w:hAnsi="David" w:cs="David" w:hint="cs"/>
          <w:rtl/>
        </w:rPr>
        <w:t xml:space="preserve">מקסימום </w:t>
      </w:r>
      <w:r w:rsidR="00070E72" w:rsidRPr="0096007F">
        <w:rPr>
          <w:rFonts w:ascii="David" w:hAnsi="David" w:cs="David" w:hint="cs"/>
          <w:rtl/>
        </w:rPr>
        <w:t>של מדיד</w:t>
      </w:r>
      <w:r w:rsidRPr="0096007F">
        <w:rPr>
          <w:rFonts w:ascii="David" w:hAnsi="David" w:cs="David" w:hint="cs"/>
          <w:rtl/>
        </w:rPr>
        <w:t xml:space="preserve">ת הרעש (מסוג </w:t>
      </w:r>
      <w:r w:rsidRPr="0096007F">
        <w:rPr>
          <w:rFonts w:ascii="David" w:hAnsi="David" w:cs="David" w:hint="cs"/>
          <w:b/>
          <w:bCs/>
          <w:rtl/>
        </w:rPr>
        <w:t>"רעש התקפי"</w:t>
      </w:r>
      <w:r w:rsidRPr="0096007F">
        <w:rPr>
          <w:rFonts w:ascii="David" w:hAnsi="David" w:cs="David" w:hint="cs"/>
          <w:rtl/>
        </w:rPr>
        <w:t>).</w:t>
      </w:r>
    </w:p>
    <w:p w:rsidR="001D50D4" w:rsidRPr="0096007F" w:rsidRDefault="001D50D4" w:rsidP="00D94F55">
      <w:pPr>
        <w:pStyle w:val="ListParagraph"/>
        <w:numPr>
          <w:ilvl w:val="0"/>
          <w:numId w:val="2"/>
        </w:numPr>
        <w:bidi/>
        <w:spacing w:before="120" w:line="360" w:lineRule="auto"/>
        <w:ind w:left="91" w:hanging="567"/>
        <w:contextualSpacing w:val="0"/>
        <w:rPr>
          <w:rFonts w:ascii="David" w:hAnsi="David" w:cs="David"/>
        </w:rPr>
      </w:pPr>
      <w:r w:rsidRPr="0096007F">
        <w:rPr>
          <w:rFonts w:ascii="David" w:hAnsi="David" w:cs="David" w:hint="cs"/>
          <w:rtl/>
        </w:rPr>
        <w:t xml:space="preserve">היינו, </w:t>
      </w:r>
      <w:r w:rsidRPr="0096007F">
        <w:rPr>
          <w:rFonts w:ascii="David" w:hAnsi="David" w:cs="David"/>
          <w:rtl/>
        </w:rPr>
        <w:t xml:space="preserve">אם כל מה שחסר אלו נתוני המדידה אז ע"פ דין יש לקבל אותם כי הם הופכים את ההכרעה, </w:t>
      </w:r>
      <w:r w:rsidRPr="0096007F">
        <w:rPr>
          <w:rFonts w:ascii="David" w:hAnsi="David" w:cs="David" w:hint="cs"/>
          <w:rtl/>
        </w:rPr>
        <w:t>ובכך תתגלה האמת ויעשה צדק שאלו מטרותיו העיקריות של ההליך השיפוטי.</w:t>
      </w:r>
    </w:p>
    <w:p w:rsidR="00070E72" w:rsidRPr="0096007F" w:rsidRDefault="001D50D4" w:rsidP="00D94F55">
      <w:pPr>
        <w:pStyle w:val="ListParagraph"/>
        <w:numPr>
          <w:ilvl w:val="0"/>
          <w:numId w:val="2"/>
        </w:numPr>
        <w:bidi/>
        <w:spacing w:before="120" w:line="360" w:lineRule="auto"/>
        <w:ind w:left="91" w:hanging="567"/>
        <w:contextualSpacing w:val="0"/>
        <w:rPr>
          <w:rFonts w:ascii="David" w:hAnsi="David" w:cs="David"/>
        </w:rPr>
      </w:pPr>
      <w:r w:rsidRPr="0096007F">
        <w:rPr>
          <w:rFonts w:ascii="David" w:hAnsi="David" w:cs="David" w:hint="cs"/>
          <w:b/>
          <w:bCs/>
          <w:rtl/>
        </w:rPr>
        <w:t>לעניין השקידה הסבירה - תקנה 144(1)</w:t>
      </w:r>
      <w:r w:rsidRPr="0096007F">
        <w:rPr>
          <w:rFonts w:ascii="David" w:hAnsi="David" w:cs="David" w:hint="cs"/>
          <w:rtl/>
        </w:rPr>
        <w:t>: ל</w:t>
      </w:r>
      <w:r w:rsidR="00DE5A63" w:rsidRPr="0096007F">
        <w:rPr>
          <w:rFonts w:ascii="David" w:hAnsi="David" w:cs="David" w:hint="cs"/>
          <w:rtl/>
        </w:rPr>
        <w:t xml:space="preserve">א ידעתי ולא היה עלי לדעת </w:t>
      </w:r>
      <w:r w:rsidRPr="0096007F">
        <w:rPr>
          <w:rFonts w:ascii="David" w:hAnsi="David" w:cs="David" w:hint="cs"/>
          <w:rtl/>
        </w:rPr>
        <w:t xml:space="preserve">מראש </w:t>
      </w:r>
      <w:r w:rsidR="00323CC5" w:rsidRPr="0096007F">
        <w:rPr>
          <w:rFonts w:ascii="David" w:hAnsi="David" w:cs="David" w:hint="cs"/>
          <w:rtl/>
        </w:rPr>
        <w:t>שביהמ"ש יחרוג ממנהגו וידרוש נתונים שאף מומחה לא מצרף</w:t>
      </w:r>
      <w:r w:rsidR="00DE5A63" w:rsidRPr="0096007F">
        <w:rPr>
          <w:rFonts w:ascii="David" w:hAnsi="David" w:cs="David" w:hint="cs"/>
          <w:rtl/>
        </w:rPr>
        <w:t xml:space="preserve">. כך למשל, </w:t>
      </w:r>
      <w:r w:rsidR="00323CC5" w:rsidRPr="0096007F">
        <w:rPr>
          <w:rFonts w:ascii="David" w:hAnsi="David" w:cs="David" w:hint="cs"/>
          <w:rtl/>
        </w:rPr>
        <w:t xml:space="preserve">המומחה ד"ר מיכאל סורוב </w:t>
      </w:r>
      <w:r w:rsidR="00323CC5" w:rsidRPr="0096007F">
        <w:rPr>
          <w:rFonts w:ascii="David" w:hAnsi="David" w:cs="David" w:hint="cs"/>
          <w:b/>
          <w:bCs/>
          <w:rtl/>
        </w:rPr>
        <w:t>שחוות דעתו הוגשה ע"י הנתבעים-משיבים</w:t>
      </w:r>
      <w:r w:rsidR="00323CC5" w:rsidRPr="0096007F">
        <w:rPr>
          <w:rFonts w:ascii="David" w:hAnsi="David" w:cs="David" w:hint="cs"/>
          <w:rtl/>
        </w:rPr>
        <w:t xml:space="preserve"> </w:t>
      </w:r>
      <w:r w:rsidR="00DE5A63" w:rsidRPr="0096007F">
        <w:rPr>
          <w:rFonts w:ascii="David" w:hAnsi="David" w:cs="David" w:hint="cs"/>
          <w:b/>
          <w:bCs/>
          <w:u w:val="single"/>
          <w:rtl/>
        </w:rPr>
        <w:t>עצמם</w:t>
      </w:r>
      <w:r w:rsidR="00DE5A63" w:rsidRPr="0096007F">
        <w:rPr>
          <w:rFonts w:ascii="David" w:hAnsi="David" w:cs="David" w:hint="cs"/>
          <w:rtl/>
        </w:rPr>
        <w:t xml:space="preserve"> </w:t>
      </w:r>
      <w:r w:rsidR="00323CC5" w:rsidRPr="0096007F">
        <w:rPr>
          <w:rFonts w:ascii="David" w:hAnsi="David" w:cs="David" w:hint="cs"/>
          <w:b/>
          <w:bCs/>
          <w:rtl/>
        </w:rPr>
        <w:t>(נ/28-נ/</w:t>
      </w:r>
      <w:r w:rsidR="00DE5A63" w:rsidRPr="0096007F">
        <w:rPr>
          <w:rFonts w:ascii="David" w:hAnsi="David" w:cs="David" w:hint="cs"/>
          <w:b/>
          <w:bCs/>
          <w:rtl/>
        </w:rPr>
        <w:t>25)</w:t>
      </w:r>
      <w:r w:rsidR="00323CC5" w:rsidRPr="0096007F">
        <w:rPr>
          <w:rFonts w:ascii="David" w:hAnsi="David" w:cs="David" w:hint="cs"/>
          <w:rtl/>
        </w:rPr>
        <w:t xml:space="preserve"> </w:t>
      </w:r>
      <w:r w:rsidR="00DE5A63" w:rsidRPr="0096007F">
        <w:rPr>
          <w:rFonts w:ascii="David" w:hAnsi="David" w:cs="David" w:hint="cs"/>
          <w:rtl/>
        </w:rPr>
        <w:t>ו</w:t>
      </w:r>
      <w:r w:rsidR="00323CC5" w:rsidRPr="0096007F">
        <w:rPr>
          <w:rFonts w:ascii="David" w:hAnsi="David" w:cs="David" w:hint="cs"/>
          <w:rtl/>
        </w:rPr>
        <w:t>לא כלל</w:t>
      </w:r>
      <w:r w:rsidR="00DE5A63" w:rsidRPr="0096007F">
        <w:rPr>
          <w:rFonts w:ascii="David" w:hAnsi="David" w:cs="David" w:hint="cs"/>
          <w:rtl/>
        </w:rPr>
        <w:t>ה</w:t>
      </w:r>
      <w:r w:rsidR="00323CC5" w:rsidRPr="0096007F">
        <w:rPr>
          <w:rFonts w:ascii="David" w:hAnsi="David" w:cs="David" w:hint="cs"/>
          <w:rtl/>
        </w:rPr>
        <w:t xml:space="preserve"> נתוני מדידה על פני זמן אלא רק ערכי מקסימום </w:t>
      </w:r>
      <w:r w:rsidR="00DE5A63" w:rsidRPr="0096007F">
        <w:rPr>
          <w:rFonts w:ascii="David" w:hAnsi="David" w:cs="David" w:hint="cs"/>
          <w:rtl/>
        </w:rPr>
        <w:t xml:space="preserve">(יש להבחין בין נתוני מדידות לבין הרכב ספקטרלי) , וכך גם חוות הדעת של המומחה עמוס יפה </w:t>
      </w:r>
      <w:r w:rsidR="00DE5A63" w:rsidRPr="0096007F">
        <w:rPr>
          <w:rFonts w:ascii="David" w:hAnsi="David" w:cs="David" w:hint="cs"/>
          <w:b/>
          <w:bCs/>
          <w:rtl/>
        </w:rPr>
        <w:t>(נ/10-נ/8)</w:t>
      </w:r>
      <w:r w:rsidR="00DE5A63" w:rsidRPr="0096007F">
        <w:rPr>
          <w:rFonts w:ascii="David" w:hAnsi="David" w:cs="David" w:hint="cs"/>
          <w:rtl/>
        </w:rPr>
        <w:t xml:space="preserve"> </w:t>
      </w:r>
      <w:r w:rsidR="00DE5A63" w:rsidRPr="0096007F">
        <w:rPr>
          <w:rFonts w:ascii="David" w:hAnsi="David" w:cs="David" w:hint="cs"/>
          <w:rtl/>
        </w:rPr>
        <w:lastRenderedPageBreak/>
        <w:t xml:space="preserve">שאף צורפה לכתב התשובה </w:t>
      </w:r>
      <w:r w:rsidR="00DE5A63" w:rsidRPr="0096007F">
        <w:rPr>
          <w:rFonts w:ascii="David" w:hAnsi="David" w:cs="David" w:hint="cs"/>
          <w:b/>
          <w:bCs/>
          <w:rtl/>
        </w:rPr>
        <w:t xml:space="preserve">והוגשה לביהמ"ש ע"י הנתבעת 8 עצמה בהליך משפטי אחר מולי ומהווה הודאת בעל דין, ולכן, בין השאר, נמנעה להגיע למסירת עדות, ולכן, בין השאר, השופט תמיר דחה שתי בקשות שלי לזימונה לעדות, לפני דיון ההוכחות ואחריו. לו הייתי מצפה לכך, הייתי מבקש אותם מהמומחה ומצרפם, </w:t>
      </w:r>
      <w:r w:rsidRPr="0096007F">
        <w:rPr>
          <w:rFonts w:ascii="David" w:hAnsi="David" w:cs="David" w:hint="cs"/>
          <w:rtl/>
        </w:rPr>
        <w:t xml:space="preserve">למרות </w:t>
      </w:r>
      <w:r w:rsidR="00DE5A63" w:rsidRPr="0096007F">
        <w:rPr>
          <w:rFonts w:ascii="David" w:hAnsi="David" w:cs="David" w:hint="cs"/>
          <w:rtl/>
        </w:rPr>
        <w:t xml:space="preserve">שכאמור, </w:t>
      </w:r>
      <w:r w:rsidRPr="0096007F">
        <w:rPr>
          <w:rFonts w:ascii="David" w:hAnsi="David" w:cs="David" w:hint="cs"/>
          <w:rtl/>
        </w:rPr>
        <w:t xml:space="preserve">אין להם כל ערך, </w:t>
      </w:r>
      <w:r w:rsidR="00DE5A63" w:rsidRPr="0096007F">
        <w:rPr>
          <w:rFonts w:ascii="David" w:hAnsi="David" w:cs="David" w:hint="cs"/>
          <w:rtl/>
        </w:rPr>
        <w:t xml:space="preserve">ולכן גם המומחה ברמן </w:t>
      </w:r>
      <w:r w:rsidRPr="0096007F">
        <w:rPr>
          <w:rFonts w:ascii="David" w:hAnsi="David" w:cs="David" w:hint="cs"/>
          <w:rtl/>
        </w:rPr>
        <w:t xml:space="preserve">לא </w:t>
      </w:r>
      <w:r w:rsidR="00DE5A63" w:rsidRPr="0096007F">
        <w:rPr>
          <w:rFonts w:ascii="David" w:hAnsi="David" w:cs="David" w:hint="cs"/>
          <w:rtl/>
        </w:rPr>
        <w:t>צפה עניין זה</w:t>
      </w:r>
      <w:r w:rsidRPr="0096007F">
        <w:rPr>
          <w:rFonts w:ascii="David" w:hAnsi="David" w:cs="David"/>
          <w:rtl/>
        </w:rPr>
        <w:t>.</w:t>
      </w:r>
    </w:p>
    <w:p w:rsidR="001D50D4" w:rsidRPr="0096007F" w:rsidRDefault="001D50D4" w:rsidP="00F10D96">
      <w:pPr>
        <w:pStyle w:val="ListParagraph"/>
        <w:numPr>
          <w:ilvl w:val="0"/>
          <w:numId w:val="2"/>
        </w:numPr>
        <w:bidi/>
        <w:spacing w:before="120" w:line="360" w:lineRule="auto"/>
        <w:ind w:left="91" w:hanging="567"/>
        <w:contextualSpacing w:val="0"/>
        <w:rPr>
          <w:rFonts w:ascii="David" w:hAnsi="David" w:cs="David"/>
        </w:rPr>
      </w:pPr>
      <w:r w:rsidRPr="0096007F">
        <w:rPr>
          <w:rFonts w:ascii="David" w:hAnsi="David" w:cs="David" w:hint="cs"/>
          <w:rtl/>
        </w:rPr>
        <w:t>כמו כן, ביקשתי לצרף גם את חוות הדעת של המומחה עמוס יפה שהגישה הנתבעת-משיבה 8 לביהמ"ש</w:t>
      </w:r>
      <w:r w:rsidR="004E68D6" w:rsidRPr="0096007F">
        <w:rPr>
          <w:rFonts w:ascii="David" w:hAnsi="David" w:cs="David" w:hint="cs"/>
          <w:rtl/>
        </w:rPr>
        <w:t xml:space="preserve">, שכן גם בחוות דעת זאת אין כלל את נתוני המדידה אלא רק את ערך יחיד של המקסימום </w:t>
      </w:r>
      <w:r w:rsidR="004E68D6" w:rsidRPr="0096007F">
        <w:rPr>
          <w:rFonts w:ascii="David" w:hAnsi="David" w:cs="David" w:hint="cs"/>
          <w:b/>
          <w:bCs/>
          <w:rtl/>
        </w:rPr>
        <w:t>(נ/10-נ/8</w:t>
      </w:r>
      <w:r w:rsidR="00F10D96" w:rsidRPr="0096007F">
        <w:rPr>
          <w:rFonts w:ascii="David" w:hAnsi="David" w:cs="David" w:hint="cs"/>
          <w:b/>
          <w:bCs/>
          <w:rtl/>
        </w:rPr>
        <w:t>, סע' 134 ו-143 לבר"ע</w:t>
      </w:r>
      <w:r w:rsidR="004E68D6" w:rsidRPr="0096007F">
        <w:rPr>
          <w:rFonts w:ascii="David" w:hAnsi="David" w:cs="David" w:hint="cs"/>
          <w:b/>
          <w:bCs/>
          <w:rtl/>
        </w:rPr>
        <w:t>).</w:t>
      </w:r>
    </w:p>
    <w:p w:rsidR="00070E72" w:rsidRPr="0096007F" w:rsidRDefault="00070E72" w:rsidP="00D94F55">
      <w:pPr>
        <w:pStyle w:val="ListParagraph"/>
        <w:numPr>
          <w:ilvl w:val="0"/>
          <w:numId w:val="2"/>
        </w:numPr>
        <w:bidi/>
        <w:spacing w:before="120" w:line="360" w:lineRule="auto"/>
        <w:ind w:left="91" w:hanging="567"/>
        <w:contextualSpacing w:val="0"/>
        <w:jc w:val="both"/>
        <w:rPr>
          <w:rFonts w:ascii="David" w:hAnsi="David" w:cs="David"/>
        </w:rPr>
      </w:pPr>
      <w:r w:rsidRPr="0096007F">
        <w:rPr>
          <w:rFonts w:ascii="David" w:hAnsi="David" w:cs="David" w:hint="cs"/>
          <w:rtl/>
        </w:rPr>
        <w:t>הנימוק השני של כב' הש' (עמיתה) דותן נסתר ומתבטל לאור כך שהמדידה הייתה צריכה להתבצע ע"פ תקן 1004 ולא ע"פ תקנות רעש בלתי סביר, וכך, נסתרים שני נימוקי הבסיס שבפסה"ד לביטול מדידת המומחה.</w:t>
      </w:r>
    </w:p>
    <w:p w:rsidR="001D50D4" w:rsidRPr="0096007F" w:rsidRDefault="001D50D4" w:rsidP="00D94F55">
      <w:pPr>
        <w:pStyle w:val="ListParagraph"/>
        <w:numPr>
          <w:ilvl w:val="0"/>
          <w:numId w:val="2"/>
        </w:numPr>
        <w:bidi/>
        <w:spacing w:before="120" w:line="360" w:lineRule="auto"/>
        <w:ind w:left="91" w:hanging="567"/>
        <w:contextualSpacing w:val="0"/>
        <w:jc w:val="both"/>
        <w:rPr>
          <w:rFonts w:ascii="David" w:hAnsi="David" w:cs="David"/>
        </w:rPr>
      </w:pPr>
      <w:r w:rsidRPr="0096007F">
        <w:rPr>
          <w:rFonts w:ascii="David" w:hAnsi="David" w:cs="David" w:hint="cs"/>
          <w:rtl/>
        </w:rPr>
        <w:t>יש לציין שכל קביעותיה של הש' (עמיתה) דותן מנותקות לגמרי מהנטען ומנומק בבקשות, היא לא ערכה בהן כל דיון, ולא מזכירה אותן בכלל, ודיי בכך לבטל את החלטתה לדון מחדש בבקשות ע"פ נימוקיהן.</w:t>
      </w:r>
    </w:p>
    <w:p w:rsidR="005B0CB6" w:rsidRPr="0096007F" w:rsidRDefault="00606D5D" w:rsidP="00D94F55">
      <w:pPr>
        <w:pStyle w:val="ListParagraph"/>
        <w:widowControl w:val="0"/>
        <w:numPr>
          <w:ilvl w:val="0"/>
          <w:numId w:val="2"/>
        </w:numPr>
        <w:shd w:val="clear" w:color="auto" w:fill="FFFFFF"/>
        <w:tabs>
          <w:tab w:val="right" w:pos="8640"/>
        </w:tabs>
        <w:bidi/>
        <w:spacing w:before="120" w:line="360" w:lineRule="auto"/>
        <w:ind w:left="91" w:hanging="567"/>
        <w:contextualSpacing w:val="0"/>
        <w:jc w:val="both"/>
        <w:rPr>
          <w:rFonts w:ascii="David" w:hAnsi="David" w:cs="David"/>
          <w:color w:val="000000"/>
        </w:rPr>
      </w:pPr>
      <w:r w:rsidRPr="0096007F">
        <w:rPr>
          <w:rFonts w:ascii="David" w:hAnsi="David" w:cs="David" w:hint="cs"/>
          <w:color w:val="000000"/>
          <w:rtl/>
        </w:rPr>
        <w:t>לפיכך, ו</w:t>
      </w:r>
      <w:r w:rsidR="007F4DC4" w:rsidRPr="0096007F">
        <w:rPr>
          <w:rFonts w:ascii="David" w:hAnsi="David" w:cs="David" w:hint="cs"/>
          <w:color w:val="000000"/>
          <w:rtl/>
        </w:rPr>
        <w:t>מכל האמור לעיל</w:t>
      </w:r>
      <w:r w:rsidR="00D46607" w:rsidRPr="0096007F">
        <w:rPr>
          <w:rFonts w:ascii="David" w:hAnsi="David" w:cs="David" w:hint="cs"/>
          <w:color w:val="000000"/>
          <w:rtl/>
        </w:rPr>
        <w:t xml:space="preserve">, </w:t>
      </w:r>
      <w:r w:rsidRPr="0096007F">
        <w:rPr>
          <w:rFonts w:ascii="David" w:hAnsi="David" w:cs="David" w:hint="cs"/>
          <w:color w:val="000000"/>
          <w:rtl/>
        </w:rPr>
        <w:t>הריני</w:t>
      </w:r>
      <w:r w:rsidR="007F4DC4" w:rsidRPr="0096007F">
        <w:rPr>
          <w:rFonts w:ascii="David" w:hAnsi="David" w:cs="David" w:hint="cs"/>
          <w:color w:val="000000"/>
          <w:rtl/>
        </w:rPr>
        <w:t xml:space="preserve"> חוזר בזאת </w:t>
      </w:r>
      <w:r w:rsidR="0033169C" w:rsidRPr="0096007F">
        <w:rPr>
          <w:rFonts w:ascii="David" w:hAnsi="David" w:cs="David" w:hint="cs"/>
          <w:color w:val="000000"/>
          <w:rtl/>
        </w:rPr>
        <w:t xml:space="preserve">בנוסף </w:t>
      </w:r>
      <w:r w:rsidR="007F4DC4" w:rsidRPr="0096007F">
        <w:rPr>
          <w:rFonts w:ascii="David" w:hAnsi="David" w:cs="David" w:hint="cs"/>
          <w:color w:val="000000"/>
          <w:rtl/>
        </w:rPr>
        <w:t>על כל העובדות והטענות והנימוקים ש</w:t>
      </w:r>
      <w:r w:rsidR="00D46607" w:rsidRPr="0096007F">
        <w:rPr>
          <w:rFonts w:ascii="David" w:hAnsi="David" w:cs="David" w:hint="cs"/>
          <w:color w:val="000000"/>
          <w:rtl/>
        </w:rPr>
        <w:t>בבקשה לקבלת ראיות נוספות בערעור</w:t>
      </w:r>
      <w:r w:rsidR="00D66D9E" w:rsidRPr="0096007F">
        <w:rPr>
          <w:rFonts w:ascii="David" w:hAnsi="David" w:cs="David" w:hint="cs"/>
          <w:color w:val="000000"/>
          <w:rtl/>
        </w:rPr>
        <w:t>,</w:t>
      </w:r>
      <w:r w:rsidR="007F4DC4" w:rsidRPr="0096007F">
        <w:rPr>
          <w:rFonts w:ascii="David" w:hAnsi="David" w:cs="David" w:hint="cs"/>
          <w:color w:val="000000"/>
          <w:rtl/>
        </w:rPr>
        <w:t xml:space="preserve"> </w:t>
      </w:r>
      <w:r w:rsidR="007F4DC4" w:rsidRPr="0096007F">
        <w:rPr>
          <w:rFonts w:ascii="David" w:hAnsi="David" w:cs="David" w:hint="cs"/>
          <w:b/>
          <w:bCs/>
          <w:color w:val="000000"/>
          <w:rtl/>
        </w:rPr>
        <w:t>נ/7 והפניותיה לנספחים שבנ/5</w:t>
      </w:r>
      <w:r w:rsidR="00D66D9E" w:rsidRPr="0096007F">
        <w:rPr>
          <w:rFonts w:ascii="David" w:hAnsi="David" w:cs="David" w:hint="cs"/>
          <w:color w:val="000000"/>
          <w:rtl/>
        </w:rPr>
        <w:t xml:space="preserve">, </w:t>
      </w:r>
      <w:r w:rsidR="007F4DC4" w:rsidRPr="0096007F">
        <w:rPr>
          <w:rFonts w:ascii="David" w:hAnsi="David" w:cs="David" w:hint="cs"/>
          <w:color w:val="000000"/>
          <w:rtl/>
        </w:rPr>
        <w:t xml:space="preserve">ובתשובתי לתגובות באי כוח המשיבים ונספחיה, </w:t>
      </w:r>
      <w:r w:rsidR="007F4DC4" w:rsidRPr="0096007F">
        <w:rPr>
          <w:rFonts w:ascii="David" w:hAnsi="David" w:cs="David" w:hint="cs"/>
          <w:b/>
          <w:bCs/>
          <w:color w:val="000000"/>
          <w:rtl/>
        </w:rPr>
        <w:t>נ/10,</w:t>
      </w:r>
      <w:r w:rsidR="007F4DC4" w:rsidRPr="0096007F">
        <w:rPr>
          <w:rFonts w:ascii="David" w:hAnsi="David" w:cs="David" w:hint="cs"/>
          <w:color w:val="000000"/>
          <w:rtl/>
        </w:rPr>
        <w:t xml:space="preserve"> ובראי תגובות באי כוח המשיבים </w:t>
      </w:r>
      <w:r w:rsidR="007F4DC4" w:rsidRPr="0096007F">
        <w:rPr>
          <w:rFonts w:ascii="David" w:hAnsi="David" w:cs="David"/>
          <w:color w:val="000000"/>
          <w:rtl/>
        </w:rPr>
        <w:t>–</w:t>
      </w:r>
      <w:r w:rsidR="007F4DC4" w:rsidRPr="0096007F">
        <w:rPr>
          <w:rFonts w:ascii="David" w:hAnsi="David" w:cs="David" w:hint="cs"/>
          <w:color w:val="000000"/>
          <w:rtl/>
        </w:rPr>
        <w:t xml:space="preserve"> </w:t>
      </w:r>
      <w:r w:rsidR="007F4DC4" w:rsidRPr="0096007F">
        <w:rPr>
          <w:rFonts w:ascii="David" w:hAnsi="David" w:cs="David" w:hint="cs"/>
          <w:b/>
          <w:bCs/>
          <w:color w:val="000000"/>
          <w:rtl/>
        </w:rPr>
        <w:t>נ/8 ו-נ/9,</w:t>
      </w:r>
      <w:r w:rsidR="007F4DC4" w:rsidRPr="0096007F">
        <w:rPr>
          <w:rFonts w:ascii="David" w:hAnsi="David" w:cs="David" w:hint="cs"/>
          <w:color w:val="000000"/>
          <w:rtl/>
        </w:rPr>
        <w:t xml:space="preserve">  </w:t>
      </w:r>
      <w:r w:rsidR="00D46607" w:rsidRPr="0096007F">
        <w:rPr>
          <w:rFonts w:ascii="David" w:hAnsi="David" w:cs="David" w:hint="cs"/>
          <w:color w:val="000000"/>
          <w:rtl/>
        </w:rPr>
        <w:t>ובבקשה הנוספת</w:t>
      </w:r>
      <w:r w:rsidR="007F4DC4" w:rsidRPr="0096007F">
        <w:rPr>
          <w:rFonts w:ascii="David" w:hAnsi="David" w:cs="David" w:hint="cs"/>
          <w:color w:val="000000"/>
          <w:rtl/>
        </w:rPr>
        <w:t xml:space="preserve"> ל</w:t>
      </w:r>
      <w:r w:rsidR="00C56C9B" w:rsidRPr="0096007F">
        <w:rPr>
          <w:rFonts w:ascii="David" w:hAnsi="David" w:cs="David" w:hint="cs"/>
          <w:color w:val="000000"/>
          <w:rtl/>
        </w:rPr>
        <w:t xml:space="preserve">קבלת התצהיר, נתוני המדידה ותקליטור הראיות שהוגש בהליך קמא, </w:t>
      </w:r>
      <w:r w:rsidR="00C56C9B" w:rsidRPr="0096007F">
        <w:rPr>
          <w:rFonts w:ascii="David" w:hAnsi="David" w:cs="David" w:hint="cs"/>
          <w:b/>
          <w:bCs/>
          <w:color w:val="000000"/>
          <w:rtl/>
        </w:rPr>
        <w:t>נ/28</w:t>
      </w:r>
      <w:r w:rsidRPr="0096007F">
        <w:rPr>
          <w:rFonts w:ascii="David" w:hAnsi="David" w:cs="David" w:hint="cs"/>
          <w:b/>
          <w:bCs/>
          <w:color w:val="000000"/>
          <w:rtl/>
        </w:rPr>
        <w:t xml:space="preserve"> </w:t>
      </w:r>
      <w:r w:rsidRPr="0096007F">
        <w:rPr>
          <w:rFonts w:ascii="David" w:hAnsi="David" w:cs="David" w:hint="cs"/>
          <w:color w:val="000000"/>
          <w:rtl/>
        </w:rPr>
        <w:t xml:space="preserve">(מספרי העמודים של הנספחים השונים ברשימת הנספחים של הבר"ע), ומבוקש לקרוא את הבקשה והבקשה הנוספת ולהכריע כדין באופן מנומק המתייחס עובדות, ולטענות ונימוקיי הצדדים, או להחזיר את ההליך או את הבקשה לביהמ"ש המחוזי לשופט מן המניין </w:t>
      </w:r>
      <w:r w:rsidR="00E6305C" w:rsidRPr="0096007F">
        <w:rPr>
          <w:rFonts w:ascii="David" w:hAnsi="David" w:cs="David" w:hint="cs"/>
          <w:color w:val="000000"/>
          <w:rtl/>
        </w:rPr>
        <w:t xml:space="preserve">(שאיננו שופט עמית) </w:t>
      </w:r>
      <w:r w:rsidRPr="0096007F">
        <w:rPr>
          <w:rFonts w:ascii="David" w:hAnsi="David" w:cs="David" w:hint="cs"/>
          <w:color w:val="000000"/>
          <w:rtl/>
        </w:rPr>
        <w:t>כדי שיעבור על הראיות ועל תיק המוצגים וכל מה שדרוש וייתן החלטה מנומקת כדין.</w:t>
      </w:r>
    </w:p>
    <w:p w:rsidR="00C56C9B" w:rsidRPr="0096007F" w:rsidRDefault="00E6305C" w:rsidP="00B123DC">
      <w:pPr>
        <w:pStyle w:val="ListParagraph"/>
        <w:widowControl w:val="0"/>
        <w:numPr>
          <w:ilvl w:val="0"/>
          <w:numId w:val="2"/>
        </w:numPr>
        <w:shd w:val="clear" w:color="auto" w:fill="FFFFFF"/>
        <w:tabs>
          <w:tab w:val="right" w:pos="8640"/>
        </w:tabs>
        <w:bidi/>
        <w:spacing w:before="120" w:line="360" w:lineRule="auto"/>
        <w:ind w:left="91" w:hanging="567"/>
        <w:contextualSpacing w:val="0"/>
        <w:jc w:val="both"/>
        <w:rPr>
          <w:rFonts w:ascii="David" w:hAnsi="David" w:cs="David"/>
          <w:color w:val="000000"/>
        </w:rPr>
      </w:pPr>
      <w:r w:rsidRPr="0096007F">
        <w:rPr>
          <w:rFonts w:ascii="David" w:hAnsi="David" w:cs="David" w:hint="cs"/>
          <w:color w:val="000000"/>
          <w:rtl/>
        </w:rPr>
        <w:t xml:space="preserve">הן </w:t>
      </w:r>
      <w:r w:rsidR="00C56C9B" w:rsidRPr="0096007F">
        <w:rPr>
          <w:rFonts w:ascii="David" w:hAnsi="David" w:cs="David" w:hint="cs"/>
          <w:color w:val="000000"/>
          <w:rtl/>
        </w:rPr>
        <w:t xml:space="preserve">הבקשה לקבלת ראיות נוספות בערעור </w:t>
      </w:r>
      <w:r w:rsidRPr="0096007F">
        <w:rPr>
          <w:rFonts w:ascii="David" w:hAnsi="David" w:cs="David" w:hint="cs"/>
          <w:color w:val="000000"/>
          <w:rtl/>
        </w:rPr>
        <w:t>והן התשובה לתגובות המשיבים נתמכות בתצהיר כדין</w:t>
      </w:r>
      <w:r w:rsidR="0033169C" w:rsidRPr="0096007F">
        <w:rPr>
          <w:rFonts w:ascii="David" w:hAnsi="David" w:cs="David" w:hint="cs"/>
          <w:color w:val="000000"/>
          <w:rtl/>
        </w:rPr>
        <w:t xml:space="preserve">, ואינני מצרפם כאן כדי החיסכון בנייר שהוא ע"פ </w:t>
      </w:r>
      <w:r w:rsidR="004B3A93" w:rsidRPr="0096007F">
        <w:rPr>
          <w:rFonts w:ascii="David" w:hAnsi="David" w:cs="David" w:hint="cs"/>
          <w:color w:val="000000"/>
          <w:rtl/>
        </w:rPr>
        <w:t xml:space="preserve">ע"א 122/21-ג' </w:t>
      </w:r>
      <w:r w:rsidR="004B3A93" w:rsidRPr="0096007F">
        <w:rPr>
          <w:rFonts w:ascii="David" w:hAnsi="David" w:cs="David" w:hint="cs"/>
          <w:b/>
          <w:bCs/>
          <w:color w:val="000000"/>
          <w:rtl/>
        </w:rPr>
        <w:t xml:space="preserve">עורב טכנולוגיות בע"מ נ' פקיד שומה חולון </w:t>
      </w:r>
      <w:r w:rsidR="004B3A93" w:rsidRPr="0096007F">
        <w:rPr>
          <w:rFonts w:ascii="David" w:hAnsi="David" w:cs="David" w:hint="cs"/>
          <w:color w:val="000000"/>
          <w:rtl/>
        </w:rPr>
        <w:t>(28.2.21) מ</w:t>
      </w:r>
      <w:r w:rsidR="0033169C" w:rsidRPr="0096007F">
        <w:rPr>
          <w:rFonts w:ascii="David" w:hAnsi="David" w:cs="David" w:hint="cs"/>
          <w:color w:val="000000"/>
          <w:rtl/>
        </w:rPr>
        <w:t xml:space="preserve">תכליות </w:t>
      </w:r>
      <w:r w:rsidR="00E00F11" w:rsidRPr="0096007F">
        <w:rPr>
          <w:rFonts w:ascii="David" w:hAnsi="David" w:cs="David" w:hint="cs"/>
          <w:color w:val="000000"/>
          <w:rtl/>
        </w:rPr>
        <w:t>הגבלת העמודים</w:t>
      </w:r>
      <w:r w:rsidR="004B3A93" w:rsidRPr="0096007F">
        <w:rPr>
          <w:rFonts w:ascii="David" w:hAnsi="David" w:cs="David" w:hint="cs"/>
          <w:color w:val="000000"/>
          <w:rtl/>
        </w:rPr>
        <w:t xml:space="preserve"> שבתקנות סד"א החדשות-2018</w:t>
      </w:r>
      <w:r w:rsidR="00E00F11" w:rsidRPr="0096007F">
        <w:rPr>
          <w:rFonts w:ascii="David" w:hAnsi="David" w:cs="David" w:hint="cs"/>
          <w:color w:val="000000"/>
          <w:rtl/>
        </w:rPr>
        <w:t xml:space="preserve">, אך הטענות </w:t>
      </w:r>
      <w:r w:rsidR="00B123DC" w:rsidRPr="0096007F">
        <w:rPr>
          <w:rFonts w:ascii="David" w:hAnsi="David" w:cs="David" w:hint="cs"/>
          <w:color w:val="000000"/>
          <w:rtl/>
        </w:rPr>
        <w:t>נכללות</w:t>
      </w:r>
      <w:r w:rsidR="008274AB" w:rsidRPr="0096007F">
        <w:rPr>
          <w:rFonts w:ascii="David" w:hAnsi="David" w:cs="David" w:hint="cs"/>
          <w:color w:val="000000"/>
          <w:rtl/>
        </w:rPr>
        <w:t xml:space="preserve"> בהליך זה</w:t>
      </w:r>
      <w:r w:rsidR="00E00F11" w:rsidRPr="0096007F">
        <w:rPr>
          <w:rFonts w:ascii="David" w:hAnsi="David" w:cs="David" w:hint="cs"/>
          <w:color w:val="000000"/>
          <w:rtl/>
        </w:rPr>
        <w:t xml:space="preserve"> כדין.</w:t>
      </w:r>
    </w:p>
    <w:p w:rsidR="004B3A93" w:rsidRPr="0096007F" w:rsidRDefault="004B3A93" w:rsidP="00D94F55">
      <w:pPr>
        <w:pStyle w:val="ListParagraph"/>
        <w:widowControl w:val="0"/>
        <w:numPr>
          <w:ilvl w:val="0"/>
          <w:numId w:val="2"/>
        </w:numPr>
        <w:shd w:val="clear" w:color="auto" w:fill="FFFFFF"/>
        <w:tabs>
          <w:tab w:val="right" w:pos="8640"/>
        </w:tabs>
        <w:bidi/>
        <w:spacing w:before="120" w:line="360" w:lineRule="auto"/>
        <w:ind w:left="91" w:hanging="567"/>
        <w:contextualSpacing w:val="0"/>
        <w:jc w:val="both"/>
        <w:rPr>
          <w:rFonts w:ascii="David" w:hAnsi="David" w:cs="David"/>
          <w:color w:val="000000"/>
        </w:rPr>
      </w:pPr>
      <w:r w:rsidRPr="0096007F">
        <w:rPr>
          <w:rFonts w:ascii="David" w:hAnsi="David" w:cs="David" w:hint="cs"/>
          <w:color w:val="000000"/>
          <w:rtl/>
        </w:rPr>
        <w:t>אולם אם נדרש היה לצרף את הנספחים גם לבקשה זאת למרות שהם בתיק וצורפו לכתב הבר"ע, מבוקש לאפשר לי להוסיפם, ובלבד שהבקשה לא תידחה מטעם זה בלבד.</w:t>
      </w:r>
    </w:p>
    <w:p w:rsidR="00DE5A63" w:rsidRPr="0096007F" w:rsidRDefault="00DE5A63" w:rsidP="00D94F55">
      <w:pPr>
        <w:pStyle w:val="ListParagraph"/>
        <w:widowControl w:val="0"/>
        <w:numPr>
          <w:ilvl w:val="0"/>
          <w:numId w:val="2"/>
        </w:numPr>
        <w:shd w:val="clear" w:color="auto" w:fill="FFFFFF"/>
        <w:tabs>
          <w:tab w:val="right" w:pos="8640"/>
        </w:tabs>
        <w:bidi/>
        <w:spacing w:before="120" w:line="360" w:lineRule="auto"/>
        <w:ind w:left="91" w:hanging="567"/>
        <w:contextualSpacing w:val="0"/>
        <w:jc w:val="both"/>
        <w:rPr>
          <w:rFonts w:ascii="David" w:hAnsi="David" w:cs="David"/>
          <w:color w:val="000000"/>
        </w:rPr>
      </w:pPr>
      <w:r w:rsidRPr="0096007F">
        <w:rPr>
          <w:rFonts w:ascii="David" w:hAnsi="David" w:cs="David" w:hint="cs"/>
          <w:color w:val="000000"/>
          <w:rtl/>
        </w:rPr>
        <w:t xml:space="preserve">לבקשה מצורף תצהיר </w:t>
      </w:r>
      <w:r w:rsidR="00072C4F" w:rsidRPr="0096007F">
        <w:rPr>
          <w:rFonts w:ascii="David" w:hAnsi="David" w:cs="David" w:hint="cs"/>
          <w:color w:val="000000"/>
          <w:rtl/>
        </w:rPr>
        <w:t>תומך ל</w:t>
      </w:r>
      <w:r w:rsidRPr="0096007F">
        <w:rPr>
          <w:rFonts w:ascii="David" w:hAnsi="David" w:cs="David" w:hint="cs"/>
          <w:color w:val="000000"/>
          <w:rtl/>
        </w:rPr>
        <w:t>אימות עובדות.</w:t>
      </w:r>
    </w:p>
    <w:p w:rsidR="000D784A" w:rsidRPr="0096007F" w:rsidRDefault="00DE5A63" w:rsidP="00D94F55">
      <w:pPr>
        <w:pStyle w:val="ListParagraph"/>
        <w:widowControl w:val="0"/>
        <w:numPr>
          <w:ilvl w:val="0"/>
          <w:numId w:val="2"/>
        </w:numPr>
        <w:shd w:val="clear" w:color="auto" w:fill="FFFFFF"/>
        <w:tabs>
          <w:tab w:val="right" w:pos="8640"/>
        </w:tabs>
        <w:bidi/>
        <w:spacing w:before="120" w:line="360" w:lineRule="auto"/>
        <w:ind w:left="91" w:hanging="567"/>
        <w:contextualSpacing w:val="0"/>
        <w:jc w:val="both"/>
        <w:rPr>
          <w:rFonts w:ascii="David" w:hAnsi="David" w:cs="David"/>
          <w:color w:val="000000"/>
        </w:rPr>
      </w:pPr>
      <w:r w:rsidRPr="0096007F">
        <w:rPr>
          <w:rFonts w:ascii="David" w:hAnsi="David" w:cs="David" w:hint="cs"/>
          <w:color w:val="000000"/>
          <w:rtl/>
        </w:rPr>
        <w:t>מן הדין ומן הצדק להיעתר לבקשה זאת.</w:t>
      </w:r>
    </w:p>
    <w:p w:rsidR="00DE5A63" w:rsidRPr="0096007F" w:rsidRDefault="00DE5A63" w:rsidP="00D94F55">
      <w:pPr>
        <w:pStyle w:val="ListParagraph"/>
        <w:widowControl w:val="0"/>
        <w:shd w:val="clear" w:color="auto" w:fill="FFFFFF"/>
        <w:bidi/>
        <w:spacing w:before="120" w:line="360" w:lineRule="auto"/>
        <w:ind w:left="91"/>
        <w:contextualSpacing w:val="0"/>
        <w:jc w:val="both"/>
        <w:rPr>
          <w:rFonts w:ascii="David" w:hAnsi="David" w:cs="David"/>
          <w:color w:val="000000"/>
          <w:rtl/>
        </w:rPr>
      </w:pPr>
      <w:r w:rsidRPr="0096007F">
        <w:rPr>
          <w:rFonts w:ascii="David" w:hAnsi="David" w:cs="David"/>
          <w:color w:val="000000"/>
          <w:rtl/>
        </w:rPr>
        <w:tab/>
      </w:r>
      <w:r w:rsidRPr="0096007F">
        <w:rPr>
          <w:rFonts w:ascii="David" w:hAnsi="David" w:cs="David"/>
          <w:color w:val="000000"/>
          <w:rtl/>
        </w:rPr>
        <w:tab/>
      </w:r>
      <w:r w:rsidRPr="0096007F">
        <w:rPr>
          <w:rFonts w:ascii="David" w:hAnsi="David" w:cs="David"/>
          <w:color w:val="000000"/>
          <w:rtl/>
        </w:rPr>
        <w:tab/>
      </w:r>
      <w:r w:rsidRPr="0096007F">
        <w:rPr>
          <w:rFonts w:ascii="David" w:hAnsi="David" w:cs="David"/>
          <w:color w:val="000000"/>
          <w:rtl/>
        </w:rPr>
        <w:tab/>
      </w:r>
      <w:r w:rsidRPr="0096007F">
        <w:rPr>
          <w:rFonts w:ascii="David" w:hAnsi="David" w:cs="David"/>
          <w:color w:val="000000"/>
          <w:rtl/>
        </w:rPr>
        <w:tab/>
      </w:r>
      <w:r w:rsidRPr="0096007F">
        <w:rPr>
          <w:rFonts w:ascii="David" w:hAnsi="David" w:cs="David"/>
          <w:color w:val="000000"/>
          <w:rtl/>
        </w:rPr>
        <w:tab/>
      </w:r>
      <w:r w:rsidRPr="0096007F">
        <w:rPr>
          <w:rFonts w:ascii="David" w:hAnsi="David" w:cs="David"/>
          <w:color w:val="000000"/>
          <w:rtl/>
        </w:rPr>
        <w:tab/>
      </w:r>
      <w:r w:rsidRPr="0096007F">
        <w:rPr>
          <w:rFonts w:ascii="David" w:hAnsi="David" w:cs="David" w:hint="cs"/>
          <w:color w:val="000000"/>
          <w:rtl/>
        </w:rPr>
        <w:t>אילן קירשנבאום,</w:t>
      </w:r>
    </w:p>
    <w:p w:rsidR="00DE5A63" w:rsidRPr="00DE5A63" w:rsidRDefault="00DE5A63" w:rsidP="00D94F55">
      <w:pPr>
        <w:pStyle w:val="ListParagraph"/>
        <w:widowControl w:val="0"/>
        <w:shd w:val="clear" w:color="auto" w:fill="FFFFFF"/>
        <w:bidi/>
        <w:spacing w:before="120" w:line="360" w:lineRule="auto"/>
        <w:ind w:left="91"/>
        <w:contextualSpacing w:val="0"/>
        <w:jc w:val="both"/>
        <w:rPr>
          <w:rFonts w:ascii="David" w:hAnsi="David" w:cs="David"/>
          <w:color w:val="000000"/>
          <w:rtl/>
        </w:rPr>
      </w:pPr>
      <w:r w:rsidRPr="0096007F">
        <w:rPr>
          <w:rFonts w:ascii="David" w:hAnsi="David" w:cs="David"/>
          <w:color w:val="000000"/>
          <w:rtl/>
        </w:rPr>
        <w:tab/>
      </w:r>
      <w:r w:rsidRPr="0096007F">
        <w:rPr>
          <w:rFonts w:ascii="David" w:hAnsi="David" w:cs="David"/>
          <w:color w:val="000000"/>
          <w:rtl/>
        </w:rPr>
        <w:tab/>
      </w:r>
      <w:r w:rsidRPr="0096007F">
        <w:rPr>
          <w:rFonts w:ascii="David" w:hAnsi="David" w:cs="David"/>
          <w:color w:val="000000"/>
          <w:rtl/>
        </w:rPr>
        <w:tab/>
      </w:r>
      <w:r w:rsidRPr="0096007F">
        <w:rPr>
          <w:rFonts w:ascii="David" w:hAnsi="David" w:cs="David"/>
          <w:color w:val="000000"/>
          <w:rtl/>
        </w:rPr>
        <w:tab/>
      </w:r>
      <w:r w:rsidRPr="0096007F">
        <w:rPr>
          <w:rFonts w:ascii="David" w:hAnsi="David" w:cs="David"/>
          <w:color w:val="000000"/>
          <w:rtl/>
        </w:rPr>
        <w:tab/>
      </w:r>
      <w:r w:rsidRPr="0096007F">
        <w:rPr>
          <w:rFonts w:ascii="David" w:hAnsi="David" w:cs="David"/>
          <w:color w:val="000000"/>
          <w:rtl/>
        </w:rPr>
        <w:tab/>
      </w:r>
      <w:r w:rsidRPr="0096007F">
        <w:rPr>
          <w:rFonts w:ascii="David" w:hAnsi="David" w:cs="David"/>
          <w:color w:val="000000"/>
          <w:rtl/>
        </w:rPr>
        <w:tab/>
      </w:r>
      <w:r w:rsidRPr="0096007F">
        <w:rPr>
          <w:rFonts w:ascii="David" w:hAnsi="David" w:cs="David" w:hint="cs"/>
          <w:color w:val="000000"/>
          <w:rtl/>
        </w:rPr>
        <w:t>המבקש מערער.</w:t>
      </w:r>
    </w:p>
    <w:p w:rsidR="00A92908" w:rsidRDefault="00A92908" w:rsidP="00A92908">
      <w:pPr>
        <w:bidi/>
      </w:pPr>
    </w:p>
    <w:sectPr w:rsidR="00A92908" w:rsidSect="00914222">
      <w:footerReference w:type="default" r:id="rId7"/>
      <w:pgSz w:w="12240" w:h="15840"/>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FF8" w:rsidRDefault="00497FF8" w:rsidP="00CC76FA">
      <w:r>
        <w:separator/>
      </w:r>
    </w:p>
  </w:endnote>
  <w:endnote w:type="continuationSeparator" w:id="0">
    <w:p w:rsidR="00497FF8" w:rsidRDefault="00497FF8" w:rsidP="00CC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7370"/>
      <w:docPartObj>
        <w:docPartGallery w:val="Page Numbers (Bottom of Page)"/>
        <w:docPartUnique/>
      </w:docPartObj>
    </w:sdtPr>
    <w:sdtEndPr>
      <w:rPr>
        <w:noProof/>
      </w:rPr>
    </w:sdtEndPr>
    <w:sdtContent>
      <w:p w:rsidR="00534C43" w:rsidRDefault="00534C43">
        <w:pPr>
          <w:pStyle w:val="Footer"/>
          <w:jc w:val="center"/>
        </w:pPr>
        <w:r>
          <w:fldChar w:fldCharType="begin"/>
        </w:r>
        <w:r>
          <w:instrText xml:space="preserve"> PAGE   \* MERGEFORMAT </w:instrText>
        </w:r>
        <w:r>
          <w:fldChar w:fldCharType="separate"/>
        </w:r>
        <w:r w:rsidR="007F7748">
          <w:rPr>
            <w:noProof/>
          </w:rPr>
          <w:t>6</w:t>
        </w:r>
        <w:r>
          <w:rPr>
            <w:noProof/>
          </w:rPr>
          <w:fldChar w:fldCharType="end"/>
        </w:r>
      </w:p>
    </w:sdtContent>
  </w:sdt>
  <w:p w:rsidR="00534C43" w:rsidRDefault="00534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FF8" w:rsidRDefault="00497FF8" w:rsidP="00CC76FA">
      <w:r>
        <w:separator/>
      </w:r>
    </w:p>
  </w:footnote>
  <w:footnote w:type="continuationSeparator" w:id="0">
    <w:p w:rsidR="00497FF8" w:rsidRDefault="00497FF8" w:rsidP="00CC7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B2FAA"/>
    <w:multiLevelType w:val="hybridMultilevel"/>
    <w:tmpl w:val="744AA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F1388"/>
    <w:multiLevelType w:val="hybridMultilevel"/>
    <w:tmpl w:val="7D6AB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06BE6"/>
    <w:multiLevelType w:val="hybridMultilevel"/>
    <w:tmpl w:val="BD1A3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E20F0"/>
    <w:multiLevelType w:val="hybridMultilevel"/>
    <w:tmpl w:val="BD1A3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026ED"/>
    <w:multiLevelType w:val="hybridMultilevel"/>
    <w:tmpl w:val="BF802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E386D"/>
    <w:multiLevelType w:val="hybridMultilevel"/>
    <w:tmpl w:val="EFC85C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F9052BC"/>
    <w:multiLevelType w:val="hybridMultilevel"/>
    <w:tmpl w:val="198EC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3477F"/>
    <w:multiLevelType w:val="hybridMultilevel"/>
    <w:tmpl w:val="4984B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08"/>
    <w:rsid w:val="000120A5"/>
    <w:rsid w:val="00070E72"/>
    <w:rsid w:val="00072C4F"/>
    <w:rsid w:val="00093D76"/>
    <w:rsid w:val="00095445"/>
    <w:rsid w:val="000B19FD"/>
    <w:rsid w:val="000B2BFA"/>
    <w:rsid w:val="000D784A"/>
    <w:rsid w:val="0012120F"/>
    <w:rsid w:val="00145C43"/>
    <w:rsid w:val="00152749"/>
    <w:rsid w:val="00154D7B"/>
    <w:rsid w:val="001D50D4"/>
    <w:rsid w:val="001E6253"/>
    <w:rsid w:val="00204F4C"/>
    <w:rsid w:val="002054EB"/>
    <w:rsid w:val="00286280"/>
    <w:rsid w:val="002A65B0"/>
    <w:rsid w:val="002C5F75"/>
    <w:rsid w:val="002F6829"/>
    <w:rsid w:val="003006BC"/>
    <w:rsid w:val="00303499"/>
    <w:rsid w:val="003040CC"/>
    <w:rsid w:val="00323CC5"/>
    <w:rsid w:val="0033169C"/>
    <w:rsid w:val="003B2FC5"/>
    <w:rsid w:val="003B6921"/>
    <w:rsid w:val="003C3A25"/>
    <w:rsid w:val="00406D6F"/>
    <w:rsid w:val="004375B0"/>
    <w:rsid w:val="00497FF8"/>
    <w:rsid w:val="004B357F"/>
    <w:rsid w:val="004B3A93"/>
    <w:rsid w:val="004E68D6"/>
    <w:rsid w:val="00504B92"/>
    <w:rsid w:val="00534C43"/>
    <w:rsid w:val="005B0CB6"/>
    <w:rsid w:val="00606D5D"/>
    <w:rsid w:val="006667AC"/>
    <w:rsid w:val="006722A4"/>
    <w:rsid w:val="00677F62"/>
    <w:rsid w:val="0068034F"/>
    <w:rsid w:val="00684420"/>
    <w:rsid w:val="00685E74"/>
    <w:rsid w:val="006F591F"/>
    <w:rsid w:val="00711105"/>
    <w:rsid w:val="007153AC"/>
    <w:rsid w:val="007A6A26"/>
    <w:rsid w:val="007F4DC4"/>
    <w:rsid w:val="007F7748"/>
    <w:rsid w:val="008274AB"/>
    <w:rsid w:val="00863017"/>
    <w:rsid w:val="0089066F"/>
    <w:rsid w:val="008907A9"/>
    <w:rsid w:val="008E7772"/>
    <w:rsid w:val="00914222"/>
    <w:rsid w:val="0094393A"/>
    <w:rsid w:val="00945484"/>
    <w:rsid w:val="00957558"/>
    <w:rsid w:val="0096007F"/>
    <w:rsid w:val="009E1ABF"/>
    <w:rsid w:val="00A02AE3"/>
    <w:rsid w:val="00A154E9"/>
    <w:rsid w:val="00A212D2"/>
    <w:rsid w:val="00A80D3A"/>
    <w:rsid w:val="00A86415"/>
    <w:rsid w:val="00A92908"/>
    <w:rsid w:val="00AD7ED5"/>
    <w:rsid w:val="00AE5F3E"/>
    <w:rsid w:val="00B123DC"/>
    <w:rsid w:val="00BA6632"/>
    <w:rsid w:val="00BA76B1"/>
    <w:rsid w:val="00BC16EF"/>
    <w:rsid w:val="00BF6197"/>
    <w:rsid w:val="00C112AE"/>
    <w:rsid w:val="00C45DB5"/>
    <w:rsid w:val="00C56C9B"/>
    <w:rsid w:val="00C605EB"/>
    <w:rsid w:val="00CC76FA"/>
    <w:rsid w:val="00D1354B"/>
    <w:rsid w:val="00D27757"/>
    <w:rsid w:val="00D46607"/>
    <w:rsid w:val="00D52D9F"/>
    <w:rsid w:val="00D55441"/>
    <w:rsid w:val="00D5557E"/>
    <w:rsid w:val="00D66D9E"/>
    <w:rsid w:val="00D71D5D"/>
    <w:rsid w:val="00D80CE3"/>
    <w:rsid w:val="00D94F55"/>
    <w:rsid w:val="00DA1350"/>
    <w:rsid w:val="00DB01E0"/>
    <w:rsid w:val="00DE5A63"/>
    <w:rsid w:val="00E00F11"/>
    <w:rsid w:val="00E27C54"/>
    <w:rsid w:val="00E35E1A"/>
    <w:rsid w:val="00E46B86"/>
    <w:rsid w:val="00E510E2"/>
    <w:rsid w:val="00E545FA"/>
    <w:rsid w:val="00E6305C"/>
    <w:rsid w:val="00ED713F"/>
    <w:rsid w:val="00F10D96"/>
    <w:rsid w:val="00F83A93"/>
    <w:rsid w:val="00F904C0"/>
    <w:rsid w:val="00F95A71"/>
    <w:rsid w:val="00FA7622"/>
    <w:rsid w:val="00FB42D8"/>
    <w:rsid w:val="00FB503F"/>
    <w:rsid w:val="00FD1CFC"/>
    <w:rsid w:val="00FF7C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7A865B-763F-421F-8891-3C69ADF8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53AC"/>
    <w:pPr>
      <w:ind w:left="720"/>
      <w:contextualSpacing/>
    </w:pPr>
  </w:style>
  <w:style w:type="paragraph" w:styleId="Header">
    <w:name w:val="header"/>
    <w:basedOn w:val="Normal"/>
    <w:link w:val="HeaderChar"/>
    <w:rsid w:val="00CC76FA"/>
    <w:pPr>
      <w:tabs>
        <w:tab w:val="center" w:pos="4680"/>
        <w:tab w:val="right" w:pos="9360"/>
      </w:tabs>
    </w:pPr>
  </w:style>
  <w:style w:type="character" w:customStyle="1" w:styleId="HeaderChar">
    <w:name w:val="Header Char"/>
    <w:basedOn w:val="DefaultParagraphFont"/>
    <w:link w:val="Header"/>
    <w:rsid w:val="00CC76FA"/>
    <w:rPr>
      <w:sz w:val="24"/>
      <w:szCs w:val="24"/>
    </w:rPr>
  </w:style>
  <w:style w:type="paragraph" w:styleId="Footer">
    <w:name w:val="footer"/>
    <w:basedOn w:val="Normal"/>
    <w:link w:val="FooterChar"/>
    <w:uiPriority w:val="99"/>
    <w:rsid w:val="00CC76FA"/>
    <w:pPr>
      <w:tabs>
        <w:tab w:val="center" w:pos="4680"/>
        <w:tab w:val="right" w:pos="9360"/>
      </w:tabs>
    </w:pPr>
  </w:style>
  <w:style w:type="character" w:customStyle="1" w:styleId="FooterChar">
    <w:name w:val="Footer Char"/>
    <w:basedOn w:val="DefaultParagraphFont"/>
    <w:link w:val="Footer"/>
    <w:uiPriority w:val="99"/>
    <w:rsid w:val="00CC76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Kir</dc:creator>
  <cp:keywords/>
  <dc:description/>
  <cp:lastModifiedBy>Ilan Kir</cp:lastModifiedBy>
  <cp:revision>2</cp:revision>
  <cp:lastPrinted>2021-10-12T06:07:00Z</cp:lastPrinted>
  <dcterms:created xsi:type="dcterms:W3CDTF">2022-08-06T12:14:00Z</dcterms:created>
  <dcterms:modified xsi:type="dcterms:W3CDTF">2022-08-06T12:14:00Z</dcterms:modified>
</cp:coreProperties>
</file>