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A8" w:rsidRDefault="00B82FA8" w:rsidP="00B82FA8">
      <w:pPr>
        <w:autoSpaceDE w:val="0"/>
        <w:autoSpaceDN w:val="0"/>
        <w:bidi/>
        <w:adjustRightInd w:val="0"/>
        <w:rPr>
          <w:rFonts w:ascii="David" w:hAnsi="David" w:cs="David"/>
          <w:b/>
          <w:bCs/>
          <w:rtl/>
        </w:rPr>
      </w:pPr>
      <w:r w:rsidRPr="00E60D45">
        <w:rPr>
          <w:rFonts w:ascii="David" w:hAnsi="David" w:cs="David"/>
          <w:b/>
          <w:bCs/>
          <w:rtl/>
        </w:rPr>
        <w:t>בית המשפט העליון</w:t>
      </w:r>
      <w:r w:rsidRPr="00E60D45">
        <w:rPr>
          <w:rFonts w:ascii="David" w:hAnsi="David" w:cs="David"/>
          <w:b/>
          <w:bCs/>
        </w:rPr>
        <w:t xml:space="preserve">                                           </w:t>
      </w:r>
      <w:r w:rsidRPr="00E60D45">
        <w:rPr>
          <w:rFonts w:ascii="David" w:hAnsi="David" w:cs="David"/>
          <w:b/>
          <w:bCs/>
        </w:rPr>
        <w:tab/>
      </w:r>
      <w:r w:rsidRPr="00E60D45"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 w:hint="cs"/>
          <w:b/>
          <w:bCs/>
          <w:rtl/>
        </w:rPr>
        <w:t>ע"א 6580/20</w:t>
      </w:r>
    </w:p>
    <w:p w:rsidR="00B82FA8" w:rsidRPr="00E60D45" w:rsidRDefault="00B82FA8" w:rsidP="00B82FA8">
      <w:pPr>
        <w:autoSpaceDE w:val="0"/>
        <w:autoSpaceDN w:val="0"/>
        <w:bidi/>
        <w:adjustRightInd w:val="0"/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 w:hint="cs"/>
          <w:b/>
          <w:bCs/>
          <w:rtl/>
        </w:rPr>
        <w:t>ע"א 6579/20</w:t>
      </w:r>
    </w:p>
    <w:p w:rsidR="00B82FA8" w:rsidRDefault="00B82FA8" w:rsidP="002932FE">
      <w:pPr>
        <w:keepLines/>
        <w:autoSpaceDE w:val="0"/>
        <w:autoSpaceDN w:val="0"/>
        <w:bidi/>
        <w:adjustRightInd w:val="0"/>
        <w:spacing w:before="120" w:line="312" w:lineRule="atLeast"/>
        <w:ind w:right="425"/>
        <w:rPr>
          <w:rFonts w:ascii="David" w:hAnsi="David" w:cs="David"/>
          <w:rtl/>
        </w:rPr>
      </w:pPr>
      <w:r w:rsidRPr="00B82FA8">
        <w:rPr>
          <w:rFonts w:ascii="David" w:hAnsi="David" w:cs="David" w:hint="cs"/>
          <w:rtl/>
        </w:rPr>
        <w:t xml:space="preserve">המערער </w:t>
      </w:r>
      <w:r>
        <w:rPr>
          <w:rFonts w:ascii="David" w:hAnsi="David" w:cs="David" w:hint="cs"/>
          <w:rtl/>
        </w:rPr>
        <w:t>בע"א 6579/20</w:t>
      </w:r>
    </w:p>
    <w:p w:rsidR="00B82FA8" w:rsidRPr="00E60D45" w:rsidRDefault="00B82FA8" w:rsidP="00B82FA8">
      <w:pPr>
        <w:keepLines/>
        <w:autoSpaceDE w:val="0"/>
        <w:autoSpaceDN w:val="0"/>
        <w:bidi/>
        <w:adjustRightInd w:val="0"/>
        <w:spacing w:line="312" w:lineRule="atLeast"/>
        <w:ind w:right="426"/>
        <w:rPr>
          <w:rFonts w:ascii="Arial" w:hAnsi="Arial" w:cs="David"/>
          <w:b/>
          <w:bCs/>
          <w:rtl/>
        </w:rPr>
      </w:pPr>
      <w:r>
        <w:rPr>
          <w:rFonts w:ascii="David" w:hAnsi="David" w:cs="David" w:hint="cs"/>
          <w:rtl/>
        </w:rPr>
        <w:t>ובע"א 6580/20</w:t>
      </w:r>
      <w:r w:rsidRPr="00B82FA8">
        <w:rPr>
          <w:rFonts w:ascii="David" w:hAnsi="David" w:cs="David"/>
          <w:rtl/>
        </w:rPr>
        <w:t>:</w:t>
      </w:r>
      <w:r w:rsidRPr="00E60D45">
        <w:rPr>
          <w:rFonts w:ascii="David" w:hAnsi="David" w:cs="David"/>
          <w:b/>
          <w:bCs/>
          <w:rtl/>
        </w:rPr>
        <w:tab/>
      </w:r>
      <w:r w:rsidRPr="00E60D45">
        <w:rPr>
          <w:rFonts w:ascii="David" w:hAnsi="David" w:cs="David"/>
          <w:b/>
          <w:bCs/>
          <w:rtl/>
        </w:rPr>
        <w:tab/>
        <w:t xml:space="preserve"> </w:t>
      </w:r>
      <w:r w:rsidRPr="00E60D45">
        <w:rPr>
          <w:rFonts w:ascii="David" w:hAnsi="David" w:cs="David"/>
          <w:b/>
          <w:bCs/>
          <w:rtl/>
        </w:rPr>
        <w:tab/>
        <w:t>אילן קירשנבאום</w:t>
      </w:r>
    </w:p>
    <w:p w:rsidR="00B82FA8" w:rsidRPr="00E60D45" w:rsidRDefault="00B82FA8" w:rsidP="00B82FA8">
      <w:pPr>
        <w:keepLines/>
        <w:autoSpaceDE w:val="0"/>
        <w:autoSpaceDN w:val="0"/>
        <w:bidi/>
        <w:adjustRightInd w:val="0"/>
        <w:spacing w:line="312" w:lineRule="atLeast"/>
        <w:ind w:right="426"/>
        <w:rPr>
          <w:rFonts w:ascii="David" w:hAnsi="David" w:cs="David"/>
          <w:b/>
          <w:bCs/>
          <w:rtl/>
        </w:rPr>
      </w:pPr>
      <w:r w:rsidRPr="00E60D45">
        <w:rPr>
          <w:rFonts w:ascii="Arial" w:hAnsi="Arial" w:cs="David"/>
          <w:rtl/>
        </w:rPr>
        <w:tab/>
      </w:r>
      <w:r w:rsidRPr="00E60D45">
        <w:rPr>
          <w:rFonts w:ascii="Arial" w:hAnsi="Arial" w:cs="David"/>
          <w:rtl/>
        </w:rPr>
        <w:tab/>
      </w:r>
      <w:r w:rsidRPr="00E60D45">
        <w:rPr>
          <w:rFonts w:ascii="Arial" w:hAnsi="Arial" w:cs="David"/>
          <w:rtl/>
        </w:rPr>
        <w:tab/>
      </w:r>
      <w:r w:rsidRPr="00E60D45">
        <w:rPr>
          <w:rFonts w:ascii="Arial" w:hAnsi="Arial" w:cs="David"/>
          <w:rtl/>
        </w:rPr>
        <w:tab/>
      </w:r>
    </w:p>
    <w:p w:rsidR="00B82FA8" w:rsidRPr="00E60D45" w:rsidRDefault="00B82FA8" w:rsidP="00B82FA8">
      <w:pPr>
        <w:tabs>
          <w:tab w:val="left" w:pos="4200"/>
        </w:tabs>
        <w:autoSpaceDE w:val="0"/>
        <w:autoSpaceDN w:val="0"/>
        <w:bidi/>
        <w:adjustRightInd w:val="0"/>
        <w:spacing w:line="312" w:lineRule="atLeast"/>
        <w:jc w:val="center"/>
        <w:rPr>
          <w:rFonts w:ascii="David" w:hAnsi="David" w:cs="David"/>
          <w:b/>
          <w:bCs/>
          <w:rtl/>
        </w:rPr>
      </w:pPr>
      <w:r w:rsidRPr="00E60D45">
        <w:rPr>
          <w:rFonts w:ascii="David" w:hAnsi="David" w:cs="David"/>
          <w:b/>
          <w:bCs/>
          <w:rtl/>
        </w:rPr>
        <w:t>- נ ג ד -</w:t>
      </w:r>
    </w:p>
    <w:p w:rsidR="00B82FA8" w:rsidRPr="00E60D45" w:rsidRDefault="00B82FA8" w:rsidP="00B82FA8">
      <w:pPr>
        <w:tabs>
          <w:tab w:val="left" w:pos="2411"/>
        </w:tabs>
        <w:autoSpaceDE w:val="0"/>
        <w:autoSpaceDN w:val="0"/>
        <w:bidi/>
        <w:adjustRightInd w:val="0"/>
        <w:spacing w:line="312" w:lineRule="atLeast"/>
        <w:rPr>
          <w:rFonts w:ascii="David" w:hAnsi="David" w:cs="David"/>
          <w:b/>
          <w:bCs/>
          <w:u w:val="single"/>
          <w:rtl/>
        </w:rPr>
      </w:pPr>
    </w:p>
    <w:p w:rsidR="00B82FA8" w:rsidRPr="00E60D45" w:rsidRDefault="00B82FA8" w:rsidP="00B82FA8">
      <w:pPr>
        <w:tabs>
          <w:tab w:val="left" w:pos="2411"/>
        </w:tabs>
        <w:bidi/>
        <w:spacing w:line="312" w:lineRule="auto"/>
        <w:rPr>
          <w:rFonts w:ascii="Arial" w:hAnsi="Arial" w:cs="David"/>
          <w:b/>
          <w:bCs/>
        </w:rPr>
      </w:pPr>
      <w:r w:rsidRPr="00B82FA8">
        <w:rPr>
          <w:rFonts w:ascii="Arial" w:hAnsi="Arial" w:cs="David" w:hint="cs"/>
          <w:rtl/>
        </w:rPr>
        <w:t>המשיבים</w:t>
      </w:r>
      <w:r>
        <w:rPr>
          <w:rFonts w:ascii="Arial" w:hAnsi="Arial" w:cs="David" w:hint="cs"/>
          <w:rtl/>
        </w:rPr>
        <w:t xml:space="preserve"> בע"א 6579/20</w:t>
      </w:r>
      <w:r w:rsidRPr="00B82FA8">
        <w:rPr>
          <w:rFonts w:ascii="Arial" w:hAnsi="Arial" w:cs="David" w:hint="cs"/>
          <w:rtl/>
        </w:rPr>
        <w:t>:</w:t>
      </w:r>
      <w:r w:rsidRPr="00E60D45">
        <w:rPr>
          <w:rFonts w:ascii="Arial" w:hAnsi="Arial" w:cs="David" w:hint="cs"/>
          <w:rtl/>
        </w:rPr>
        <w:t xml:space="preserve">      </w:t>
      </w:r>
      <w:r w:rsidRPr="00E60D45">
        <w:rPr>
          <w:rFonts w:ascii="Arial" w:hAnsi="Arial" w:cs="David" w:hint="cs"/>
          <w:b/>
          <w:bCs/>
          <w:rtl/>
        </w:rPr>
        <w:t xml:space="preserve">1.   </w:t>
      </w:r>
      <w:r w:rsidRPr="00E60D45">
        <w:rPr>
          <w:rFonts w:ascii="Arial" w:hAnsi="Arial" w:cs="David"/>
          <w:b/>
          <w:bCs/>
          <w:rtl/>
        </w:rPr>
        <w:t xml:space="preserve">נציגות הבית המשותף ברחוב </w:t>
      </w:r>
      <w:proofErr w:type="spellStart"/>
      <w:r w:rsidRPr="00E60D45">
        <w:rPr>
          <w:rFonts w:ascii="Arial" w:hAnsi="Arial" w:cs="David"/>
          <w:b/>
          <w:bCs/>
          <w:rtl/>
        </w:rPr>
        <w:t>בזל</w:t>
      </w:r>
      <w:proofErr w:type="spellEnd"/>
      <w:r w:rsidRPr="00E60D45">
        <w:rPr>
          <w:rFonts w:ascii="Arial" w:hAnsi="Arial" w:cs="David"/>
          <w:b/>
          <w:bCs/>
          <w:rtl/>
        </w:rPr>
        <w:t xml:space="preserve"> 43, תל-אביב</w:t>
      </w:r>
    </w:p>
    <w:p w:rsidR="00B82FA8" w:rsidRPr="00E60D45" w:rsidRDefault="00B82FA8" w:rsidP="00B82FA8">
      <w:pPr>
        <w:widowControl w:val="0"/>
        <w:bidi/>
        <w:spacing w:line="312" w:lineRule="auto"/>
        <w:ind w:left="2517"/>
        <w:jc w:val="both"/>
        <w:rPr>
          <w:rFonts w:ascii="Arial" w:hAnsi="Arial" w:cs="David"/>
          <w:b/>
          <w:bCs/>
        </w:rPr>
      </w:pPr>
      <w:r w:rsidRPr="00E60D45">
        <w:rPr>
          <w:rFonts w:ascii="Arial" w:hAnsi="Arial" w:cs="David" w:hint="cs"/>
          <w:b/>
          <w:bCs/>
          <w:rtl/>
        </w:rPr>
        <w:t xml:space="preserve">2.    </w:t>
      </w:r>
      <w:r w:rsidRPr="00E60D45">
        <w:rPr>
          <w:rFonts w:ascii="Arial" w:hAnsi="Arial" w:cs="David"/>
          <w:b/>
          <w:bCs/>
          <w:rtl/>
        </w:rPr>
        <w:t xml:space="preserve">אבי </w:t>
      </w:r>
      <w:r w:rsidRPr="00E60D45">
        <w:rPr>
          <w:rFonts w:ascii="Arial" w:hAnsi="Arial" w:cs="David" w:hint="cs"/>
          <w:b/>
          <w:bCs/>
          <w:rtl/>
        </w:rPr>
        <w:t xml:space="preserve">(אביגדור) </w:t>
      </w:r>
      <w:r w:rsidRPr="00E60D45">
        <w:rPr>
          <w:rFonts w:ascii="Arial" w:hAnsi="Arial" w:cs="David"/>
          <w:b/>
          <w:bCs/>
          <w:rtl/>
        </w:rPr>
        <w:t>טל</w:t>
      </w:r>
    </w:p>
    <w:p w:rsidR="00B82FA8" w:rsidRPr="00E60D45" w:rsidRDefault="00B82FA8" w:rsidP="00B82FA8">
      <w:pPr>
        <w:widowControl w:val="0"/>
        <w:bidi/>
        <w:spacing w:line="312" w:lineRule="auto"/>
        <w:ind w:left="2517"/>
        <w:jc w:val="both"/>
        <w:rPr>
          <w:rFonts w:ascii="Arial" w:hAnsi="Arial" w:cs="David"/>
          <w:b/>
          <w:bCs/>
        </w:rPr>
      </w:pPr>
      <w:r w:rsidRPr="00E60D45">
        <w:rPr>
          <w:rFonts w:ascii="Arial" w:hAnsi="Arial" w:cs="David" w:hint="cs"/>
          <w:b/>
          <w:bCs/>
          <w:rtl/>
        </w:rPr>
        <w:t xml:space="preserve">3.    </w:t>
      </w:r>
      <w:r w:rsidRPr="00E60D45">
        <w:rPr>
          <w:rFonts w:ascii="Arial" w:hAnsi="Arial" w:cs="David"/>
          <w:b/>
          <w:bCs/>
          <w:rtl/>
        </w:rPr>
        <w:t xml:space="preserve">הניה </w:t>
      </w:r>
      <w:proofErr w:type="spellStart"/>
      <w:r w:rsidRPr="00E60D45">
        <w:rPr>
          <w:rFonts w:ascii="Arial" w:hAnsi="Arial" w:cs="David"/>
          <w:b/>
          <w:bCs/>
          <w:rtl/>
        </w:rPr>
        <w:t>גודס</w:t>
      </w:r>
      <w:proofErr w:type="spellEnd"/>
    </w:p>
    <w:p w:rsidR="0062686D" w:rsidRDefault="0062686D" w:rsidP="00B82FA8">
      <w:pPr>
        <w:bidi/>
        <w:spacing w:line="312" w:lineRule="auto"/>
        <w:ind w:left="2520"/>
        <w:rPr>
          <w:rFonts w:ascii="Arial" w:hAnsi="Arial" w:cs="David"/>
          <w:b/>
          <w:bCs/>
          <w:rtl/>
        </w:rPr>
      </w:pPr>
    </w:p>
    <w:p w:rsidR="0062686D" w:rsidRPr="00E60D45" w:rsidRDefault="0062686D" w:rsidP="0062686D">
      <w:pPr>
        <w:tabs>
          <w:tab w:val="left" w:pos="2411"/>
        </w:tabs>
        <w:bidi/>
        <w:spacing w:line="312" w:lineRule="auto"/>
        <w:rPr>
          <w:rFonts w:ascii="Arial" w:hAnsi="Arial" w:cs="David"/>
          <w:b/>
          <w:bCs/>
        </w:rPr>
      </w:pPr>
      <w:r w:rsidRPr="00B82FA8">
        <w:rPr>
          <w:rFonts w:ascii="Arial" w:hAnsi="Arial" w:cs="David" w:hint="cs"/>
          <w:rtl/>
        </w:rPr>
        <w:t>המשיבים</w:t>
      </w:r>
      <w:r>
        <w:rPr>
          <w:rFonts w:ascii="Arial" w:hAnsi="Arial" w:cs="David" w:hint="cs"/>
          <w:rtl/>
        </w:rPr>
        <w:t xml:space="preserve"> בע"א 6580/20</w:t>
      </w:r>
      <w:r w:rsidRPr="00B82FA8">
        <w:rPr>
          <w:rFonts w:ascii="Arial" w:hAnsi="Arial" w:cs="David" w:hint="cs"/>
          <w:rtl/>
        </w:rPr>
        <w:t>:</w:t>
      </w:r>
      <w:r w:rsidRPr="00E60D45">
        <w:rPr>
          <w:rFonts w:ascii="Arial" w:hAnsi="Arial" w:cs="David" w:hint="cs"/>
          <w:rtl/>
        </w:rPr>
        <w:t xml:space="preserve">      </w:t>
      </w:r>
      <w:r w:rsidRPr="00E60D45">
        <w:rPr>
          <w:rFonts w:ascii="Arial" w:hAnsi="Arial" w:cs="David" w:hint="cs"/>
          <w:b/>
          <w:bCs/>
          <w:rtl/>
        </w:rPr>
        <w:t xml:space="preserve">1.   </w:t>
      </w:r>
      <w:r w:rsidRPr="00E60D45">
        <w:rPr>
          <w:rFonts w:ascii="Arial" w:hAnsi="Arial" w:cs="David"/>
          <w:b/>
          <w:bCs/>
          <w:rtl/>
        </w:rPr>
        <w:t xml:space="preserve">נציגות הבית המשותף ברחוב </w:t>
      </w:r>
      <w:proofErr w:type="spellStart"/>
      <w:r w:rsidRPr="00E60D45">
        <w:rPr>
          <w:rFonts w:ascii="Arial" w:hAnsi="Arial" w:cs="David"/>
          <w:b/>
          <w:bCs/>
          <w:rtl/>
        </w:rPr>
        <w:t>בזל</w:t>
      </w:r>
      <w:proofErr w:type="spellEnd"/>
      <w:r w:rsidRPr="00E60D45">
        <w:rPr>
          <w:rFonts w:ascii="Arial" w:hAnsi="Arial" w:cs="David"/>
          <w:b/>
          <w:bCs/>
          <w:rtl/>
        </w:rPr>
        <w:t xml:space="preserve"> 43, תל-אביב</w:t>
      </w:r>
    </w:p>
    <w:p w:rsidR="0062686D" w:rsidRPr="00E60D45" w:rsidRDefault="0062686D" w:rsidP="0062686D">
      <w:pPr>
        <w:widowControl w:val="0"/>
        <w:bidi/>
        <w:spacing w:line="312" w:lineRule="auto"/>
        <w:ind w:left="2517"/>
        <w:jc w:val="both"/>
        <w:rPr>
          <w:rFonts w:ascii="Arial" w:hAnsi="Arial" w:cs="David"/>
          <w:b/>
          <w:bCs/>
        </w:rPr>
      </w:pPr>
      <w:r w:rsidRPr="00E60D45">
        <w:rPr>
          <w:rFonts w:ascii="Arial" w:hAnsi="Arial" w:cs="David" w:hint="cs"/>
          <w:b/>
          <w:bCs/>
          <w:rtl/>
        </w:rPr>
        <w:t xml:space="preserve">2.    </w:t>
      </w:r>
      <w:r w:rsidRPr="00E60D45">
        <w:rPr>
          <w:rFonts w:ascii="Arial" w:hAnsi="Arial" w:cs="David"/>
          <w:b/>
          <w:bCs/>
          <w:rtl/>
        </w:rPr>
        <w:t xml:space="preserve">אבי </w:t>
      </w:r>
      <w:r w:rsidRPr="00E60D45">
        <w:rPr>
          <w:rFonts w:ascii="Arial" w:hAnsi="Arial" w:cs="David" w:hint="cs"/>
          <w:b/>
          <w:bCs/>
          <w:rtl/>
        </w:rPr>
        <w:t xml:space="preserve">(אביגדור) </w:t>
      </w:r>
      <w:r w:rsidRPr="00E60D45">
        <w:rPr>
          <w:rFonts w:ascii="Arial" w:hAnsi="Arial" w:cs="David"/>
          <w:b/>
          <w:bCs/>
          <w:rtl/>
        </w:rPr>
        <w:t>טל</w:t>
      </w:r>
    </w:p>
    <w:p w:rsidR="0062686D" w:rsidRPr="00E60D45" w:rsidRDefault="0062686D" w:rsidP="0062686D">
      <w:pPr>
        <w:widowControl w:val="0"/>
        <w:bidi/>
        <w:spacing w:line="312" w:lineRule="auto"/>
        <w:ind w:left="2517"/>
        <w:jc w:val="both"/>
        <w:rPr>
          <w:rFonts w:ascii="Arial" w:hAnsi="Arial" w:cs="David"/>
          <w:b/>
          <w:bCs/>
        </w:rPr>
      </w:pPr>
      <w:r w:rsidRPr="00E60D45">
        <w:rPr>
          <w:rFonts w:ascii="Arial" w:hAnsi="Arial" w:cs="David" w:hint="cs"/>
          <w:b/>
          <w:bCs/>
          <w:rtl/>
        </w:rPr>
        <w:t xml:space="preserve">3.    </w:t>
      </w:r>
      <w:r w:rsidRPr="00E60D45">
        <w:rPr>
          <w:rFonts w:ascii="Arial" w:hAnsi="Arial" w:cs="David"/>
          <w:b/>
          <w:bCs/>
          <w:rtl/>
        </w:rPr>
        <w:t xml:space="preserve">הניה </w:t>
      </w:r>
      <w:proofErr w:type="spellStart"/>
      <w:r w:rsidRPr="00E60D45">
        <w:rPr>
          <w:rFonts w:ascii="Arial" w:hAnsi="Arial" w:cs="David"/>
          <w:b/>
          <w:bCs/>
          <w:rtl/>
        </w:rPr>
        <w:t>גודס</w:t>
      </w:r>
      <w:proofErr w:type="spellEnd"/>
    </w:p>
    <w:p w:rsidR="00B82FA8" w:rsidRPr="00E60D45" w:rsidRDefault="00B82FA8" w:rsidP="0062686D">
      <w:pPr>
        <w:bidi/>
        <w:spacing w:line="312" w:lineRule="auto"/>
        <w:ind w:left="2520"/>
        <w:rPr>
          <w:rFonts w:ascii="Arial" w:hAnsi="Arial" w:cs="David"/>
          <w:b/>
          <w:bCs/>
        </w:rPr>
      </w:pPr>
      <w:r w:rsidRPr="00E60D45">
        <w:rPr>
          <w:rFonts w:ascii="Arial" w:hAnsi="Arial" w:cs="David" w:hint="cs"/>
          <w:b/>
          <w:bCs/>
          <w:rtl/>
        </w:rPr>
        <w:t xml:space="preserve">4.    </w:t>
      </w:r>
      <w:r w:rsidRPr="00E60D45">
        <w:rPr>
          <w:rFonts w:ascii="Arial" w:hAnsi="Arial" w:cs="David"/>
          <w:b/>
          <w:bCs/>
          <w:rtl/>
        </w:rPr>
        <w:t xml:space="preserve">יורם </w:t>
      </w:r>
      <w:proofErr w:type="spellStart"/>
      <w:r w:rsidRPr="00E60D45">
        <w:rPr>
          <w:rFonts w:ascii="Arial" w:hAnsi="Arial" w:cs="David"/>
          <w:b/>
          <w:bCs/>
          <w:rtl/>
        </w:rPr>
        <w:t>רוזנבאום</w:t>
      </w:r>
      <w:proofErr w:type="spellEnd"/>
      <w:r w:rsidRPr="00E60D45">
        <w:rPr>
          <w:rFonts w:ascii="Arial" w:hAnsi="Arial" w:cs="David" w:hint="cs"/>
          <w:b/>
          <w:bCs/>
          <w:rtl/>
        </w:rPr>
        <w:t xml:space="preserve">  המנוח </w:t>
      </w:r>
      <w:r w:rsidRPr="00B82FA8">
        <w:rPr>
          <w:rFonts w:ascii="Arial" w:hAnsi="Arial" w:cs="David" w:hint="cs"/>
          <w:rtl/>
        </w:rPr>
        <w:t>(לא יוצג בהליך קמא)</w:t>
      </w:r>
    </w:p>
    <w:p w:rsidR="00B82FA8" w:rsidRPr="00E60D45" w:rsidRDefault="00B82FA8" w:rsidP="00B82FA8">
      <w:pPr>
        <w:widowControl w:val="0"/>
        <w:bidi/>
        <w:spacing w:line="312" w:lineRule="auto"/>
        <w:ind w:left="2517"/>
        <w:jc w:val="both"/>
        <w:rPr>
          <w:rFonts w:ascii="Arial" w:hAnsi="Arial" w:cs="David"/>
          <w:b/>
          <w:bCs/>
        </w:rPr>
      </w:pPr>
      <w:r w:rsidRPr="00E60D45">
        <w:rPr>
          <w:rFonts w:ascii="Arial" w:hAnsi="Arial" w:cs="David" w:hint="cs"/>
          <w:b/>
          <w:bCs/>
          <w:rtl/>
        </w:rPr>
        <w:t xml:space="preserve">5.    </w:t>
      </w:r>
      <w:r w:rsidRPr="00E60D45">
        <w:rPr>
          <w:rFonts w:ascii="Arial" w:hAnsi="Arial" w:cs="David"/>
          <w:b/>
          <w:bCs/>
          <w:rtl/>
        </w:rPr>
        <w:t>רבקה נאמן</w:t>
      </w:r>
      <w:r w:rsidRPr="00E60D45">
        <w:rPr>
          <w:rFonts w:ascii="Arial" w:hAnsi="Arial" w:cs="David" w:hint="cs"/>
          <w:b/>
          <w:bCs/>
          <w:rtl/>
        </w:rPr>
        <w:t xml:space="preserve"> המנוחה </w:t>
      </w:r>
    </w:p>
    <w:p w:rsidR="00B82FA8" w:rsidRPr="00E60D45" w:rsidRDefault="00B82FA8" w:rsidP="00B82FA8">
      <w:pPr>
        <w:widowControl w:val="0"/>
        <w:bidi/>
        <w:spacing w:line="312" w:lineRule="auto"/>
        <w:ind w:left="2517"/>
        <w:jc w:val="both"/>
        <w:rPr>
          <w:rFonts w:ascii="Arial" w:hAnsi="Arial" w:cs="David"/>
          <w:b/>
          <w:bCs/>
        </w:rPr>
      </w:pPr>
      <w:r w:rsidRPr="00E60D45">
        <w:rPr>
          <w:rFonts w:ascii="Arial" w:hAnsi="Arial" w:cs="David" w:hint="cs"/>
          <w:b/>
          <w:bCs/>
          <w:rtl/>
        </w:rPr>
        <w:t xml:space="preserve">6.    </w:t>
      </w:r>
      <w:r w:rsidRPr="00E60D45">
        <w:rPr>
          <w:rFonts w:ascii="Arial" w:hAnsi="Arial" w:cs="David"/>
          <w:b/>
          <w:bCs/>
          <w:rtl/>
        </w:rPr>
        <w:t>רבקה בן משה</w:t>
      </w:r>
    </w:p>
    <w:p w:rsidR="00B82FA8" w:rsidRPr="00E60D45" w:rsidRDefault="00B82FA8" w:rsidP="00B82FA8">
      <w:pPr>
        <w:widowControl w:val="0"/>
        <w:bidi/>
        <w:spacing w:line="312" w:lineRule="auto"/>
        <w:ind w:left="2517"/>
        <w:jc w:val="both"/>
        <w:rPr>
          <w:rFonts w:ascii="Arial" w:hAnsi="Arial" w:cs="David"/>
        </w:rPr>
      </w:pPr>
      <w:r w:rsidRPr="00E60D45">
        <w:rPr>
          <w:rFonts w:ascii="Arial" w:hAnsi="Arial" w:cs="David" w:hint="cs"/>
          <w:b/>
          <w:bCs/>
          <w:rtl/>
        </w:rPr>
        <w:t xml:space="preserve">7.    </w:t>
      </w:r>
      <w:r w:rsidRPr="00E60D45">
        <w:rPr>
          <w:rFonts w:ascii="Arial" w:hAnsi="Arial" w:cs="David"/>
          <w:b/>
          <w:bCs/>
          <w:rtl/>
        </w:rPr>
        <w:t xml:space="preserve">יוסף </w:t>
      </w:r>
      <w:proofErr w:type="spellStart"/>
      <w:r w:rsidRPr="00E60D45">
        <w:rPr>
          <w:rFonts w:ascii="Arial" w:hAnsi="Arial" w:cs="David"/>
          <w:b/>
          <w:bCs/>
          <w:rtl/>
        </w:rPr>
        <w:t>פינסקר</w:t>
      </w:r>
      <w:proofErr w:type="spellEnd"/>
      <w:r w:rsidRPr="00E60D45">
        <w:rPr>
          <w:rFonts w:ascii="Arial" w:hAnsi="Arial" w:cs="David" w:hint="cs"/>
          <w:b/>
          <w:bCs/>
          <w:rtl/>
        </w:rPr>
        <w:t xml:space="preserve"> ז"ל</w:t>
      </w:r>
    </w:p>
    <w:p w:rsidR="00B82FA8" w:rsidRPr="00E60D45" w:rsidRDefault="00B82FA8" w:rsidP="00B82FA8">
      <w:pPr>
        <w:widowControl w:val="0"/>
        <w:bidi/>
        <w:spacing w:line="312" w:lineRule="auto"/>
        <w:ind w:left="2517"/>
        <w:jc w:val="both"/>
        <w:rPr>
          <w:rFonts w:ascii="Arial" w:hAnsi="Arial" w:cs="David"/>
          <w:b/>
          <w:bCs/>
          <w:rtl/>
        </w:rPr>
      </w:pPr>
      <w:r w:rsidRPr="00E60D45">
        <w:rPr>
          <w:rFonts w:ascii="Arial" w:hAnsi="Arial" w:cs="David" w:hint="cs"/>
          <w:b/>
          <w:bCs/>
          <w:rtl/>
        </w:rPr>
        <w:t xml:space="preserve">8.    </w:t>
      </w:r>
      <w:r w:rsidRPr="00E60D45">
        <w:rPr>
          <w:rFonts w:ascii="Arial" w:hAnsi="Arial" w:cs="David"/>
          <w:b/>
          <w:bCs/>
          <w:rtl/>
        </w:rPr>
        <w:t xml:space="preserve">אורית מוזס </w:t>
      </w:r>
    </w:p>
    <w:p w:rsidR="00B82FA8" w:rsidRPr="00E60D45" w:rsidRDefault="00B82FA8" w:rsidP="00B82FA8">
      <w:pPr>
        <w:autoSpaceDE w:val="0"/>
        <w:autoSpaceDN w:val="0"/>
        <w:bidi/>
        <w:adjustRightInd w:val="0"/>
        <w:spacing w:before="120"/>
        <w:ind w:left="2517"/>
        <w:rPr>
          <w:rFonts w:ascii="David" w:hAnsi="David" w:cs="David"/>
          <w:rtl/>
        </w:rPr>
      </w:pPr>
      <w:r w:rsidRPr="00E60D45">
        <w:rPr>
          <w:rFonts w:ascii="David" w:hAnsi="David" w:cs="David"/>
          <w:rtl/>
        </w:rPr>
        <w:t xml:space="preserve">(ללא משיב </w:t>
      </w:r>
      <w:r w:rsidRPr="00E60D45">
        <w:rPr>
          <w:rFonts w:ascii="David" w:hAnsi="David" w:cs="David"/>
        </w:rPr>
        <w:t>4</w:t>
      </w:r>
      <w:r w:rsidRPr="00E60D45">
        <w:rPr>
          <w:rFonts w:ascii="David" w:hAnsi="David" w:cs="David"/>
          <w:rtl/>
        </w:rPr>
        <w:t xml:space="preserve">) ע"י ב"כ עו"ד אריה לוי, מנחם בגין </w:t>
      </w:r>
      <w:r w:rsidRPr="00E60D45">
        <w:rPr>
          <w:rFonts w:ascii="David" w:hAnsi="David" w:cs="David"/>
        </w:rPr>
        <w:t>11</w:t>
      </w:r>
      <w:r w:rsidRPr="00E60D45">
        <w:rPr>
          <w:rFonts w:ascii="David" w:hAnsi="David" w:cs="David"/>
          <w:rtl/>
        </w:rPr>
        <w:t xml:space="preserve"> ר"ג</w:t>
      </w:r>
    </w:p>
    <w:p w:rsidR="00B82FA8" w:rsidRPr="00E60D45" w:rsidRDefault="00B82FA8" w:rsidP="00B82FA8">
      <w:pPr>
        <w:autoSpaceDE w:val="0"/>
        <w:autoSpaceDN w:val="0"/>
        <w:bidi/>
        <w:adjustRightInd w:val="0"/>
        <w:ind w:left="1797" w:hanging="357"/>
        <w:rPr>
          <w:rFonts w:ascii="David" w:hAnsi="David" w:cs="David"/>
          <w:rtl/>
          <w:lang w:bidi="ar-SA"/>
        </w:rPr>
      </w:pPr>
      <w:r w:rsidRPr="00E60D45">
        <w:rPr>
          <w:rFonts w:ascii="David" w:hAnsi="David" w:cs="David"/>
          <w:rtl/>
        </w:rPr>
        <w:t xml:space="preserve">                      טל'</w:t>
      </w:r>
      <w:r w:rsidRPr="00E60D45">
        <w:rPr>
          <w:rFonts w:ascii="David" w:hAnsi="David" w:cs="David"/>
          <w:rtl/>
          <w:lang w:bidi="ar-SA"/>
        </w:rPr>
        <w:t xml:space="preserve">‏  </w:t>
      </w:r>
      <w:r w:rsidRPr="00E60D45">
        <w:rPr>
          <w:rFonts w:ascii="David" w:hAnsi="David" w:cs="David"/>
          <w:lang w:bidi="ar-SA"/>
        </w:rPr>
        <w:t>03-6245544</w:t>
      </w:r>
      <w:r w:rsidRPr="00E60D45">
        <w:rPr>
          <w:rFonts w:ascii="David" w:hAnsi="David" w:cs="David"/>
          <w:rtl/>
        </w:rPr>
        <w:t xml:space="preserve">  </w:t>
      </w:r>
      <w:r w:rsidRPr="00E60D45">
        <w:rPr>
          <w:rFonts w:ascii="David" w:hAnsi="David" w:cs="David"/>
          <w:rtl/>
          <w:lang w:bidi="ar-SA"/>
        </w:rPr>
        <w:t>‏</w:t>
      </w:r>
      <w:r w:rsidRPr="00E60D45">
        <w:rPr>
          <w:rFonts w:ascii="David" w:hAnsi="David" w:cs="David"/>
          <w:rtl/>
        </w:rPr>
        <w:t xml:space="preserve">פקס </w:t>
      </w:r>
      <w:r w:rsidRPr="00E60D45">
        <w:rPr>
          <w:rFonts w:ascii="David" w:hAnsi="David" w:cs="David"/>
        </w:rPr>
        <w:t>03-6245545</w:t>
      </w:r>
      <w:r w:rsidRPr="00E60D45">
        <w:rPr>
          <w:rFonts w:ascii="David" w:hAnsi="David" w:cs="David"/>
          <w:rtl/>
          <w:lang w:bidi="ar-SA"/>
        </w:rPr>
        <w:t>‏</w:t>
      </w:r>
    </w:p>
    <w:p w:rsidR="00B82FA8" w:rsidRPr="00E60D45" w:rsidRDefault="00B82FA8" w:rsidP="00B82FA8">
      <w:pPr>
        <w:autoSpaceDE w:val="0"/>
        <w:autoSpaceDN w:val="0"/>
        <w:bidi/>
        <w:adjustRightInd w:val="0"/>
        <w:ind w:left="2517"/>
        <w:jc w:val="both"/>
        <w:rPr>
          <w:rFonts w:ascii="David" w:hAnsi="David" w:cs="David"/>
          <w:b/>
          <w:bCs/>
          <w:rtl/>
        </w:rPr>
      </w:pPr>
    </w:p>
    <w:p w:rsidR="00B82FA8" w:rsidRPr="00E60D45" w:rsidRDefault="00B82FA8" w:rsidP="00B82FA8">
      <w:pPr>
        <w:autoSpaceDE w:val="0"/>
        <w:autoSpaceDN w:val="0"/>
        <w:bidi/>
        <w:adjustRightInd w:val="0"/>
        <w:spacing w:line="312" w:lineRule="atLeast"/>
        <w:ind w:left="2517"/>
        <w:jc w:val="both"/>
        <w:rPr>
          <w:rFonts w:ascii="David" w:hAnsi="David" w:cs="David"/>
          <w:b/>
          <w:bCs/>
          <w:rtl/>
        </w:rPr>
      </w:pPr>
      <w:r w:rsidRPr="00E60D45">
        <w:rPr>
          <w:rFonts w:ascii="David" w:hAnsi="David" w:cs="David"/>
          <w:b/>
          <w:bCs/>
        </w:rPr>
        <w:t>9</w:t>
      </w:r>
      <w:r w:rsidRPr="00E60D45">
        <w:rPr>
          <w:rFonts w:ascii="David" w:hAnsi="David" w:cs="David"/>
          <w:b/>
          <w:bCs/>
          <w:rtl/>
        </w:rPr>
        <w:t>.    אלכסנדר פרידמן</w:t>
      </w:r>
      <w:r w:rsidRPr="00E60D45">
        <w:rPr>
          <w:rFonts w:ascii="David" w:hAnsi="David" w:cs="David" w:hint="cs"/>
          <w:b/>
          <w:bCs/>
          <w:rtl/>
        </w:rPr>
        <w:t xml:space="preserve"> </w:t>
      </w:r>
      <w:r w:rsidRPr="00E60D45">
        <w:rPr>
          <w:rFonts w:ascii="Arial" w:hAnsi="Arial" w:cs="David" w:hint="cs"/>
          <w:b/>
          <w:bCs/>
          <w:rtl/>
        </w:rPr>
        <w:t>ת.ז. 067181438</w:t>
      </w:r>
    </w:p>
    <w:p w:rsidR="00B82FA8" w:rsidRPr="00E60D45" w:rsidRDefault="00B82FA8" w:rsidP="00B82FA8">
      <w:pPr>
        <w:autoSpaceDE w:val="0"/>
        <w:autoSpaceDN w:val="0"/>
        <w:bidi/>
        <w:adjustRightInd w:val="0"/>
        <w:ind w:left="2875" w:firstLine="5"/>
        <w:rPr>
          <w:rFonts w:ascii="David" w:hAnsi="David" w:cs="David"/>
          <w:rtl/>
        </w:rPr>
      </w:pPr>
      <w:r w:rsidRPr="00E60D45">
        <w:rPr>
          <w:rFonts w:ascii="David" w:hAnsi="David" w:cs="David"/>
          <w:rtl/>
        </w:rPr>
        <w:t xml:space="preserve">ע"י ב"כ עו"ד אלעזר </w:t>
      </w:r>
      <w:proofErr w:type="spellStart"/>
      <w:r w:rsidRPr="00E60D45">
        <w:rPr>
          <w:rFonts w:ascii="David" w:hAnsi="David" w:cs="David"/>
          <w:rtl/>
        </w:rPr>
        <w:t>טננבוים</w:t>
      </w:r>
      <w:proofErr w:type="spellEnd"/>
    </w:p>
    <w:p w:rsidR="00B82FA8" w:rsidRDefault="00B82FA8" w:rsidP="00B82FA8">
      <w:pPr>
        <w:autoSpaceDE w:val="0"/>
        <w:autoSpaceDN w:val="0"/>
        <w:bidi/>
        <w:adjustRightInd w:val="0"/>
        <w:ind w:left="2880"/>
        <w:rPr>
          <w:rFonts w:ascii="David" w:hAnsi="David" w:cs="David"/>
          <w:rtl/>
        </w:rPr>
      </w:pPr>
      <w:r w:rsidRPr="00E60D45">
        <w:rPr>
          <w:rFonts w:ascii="David" w:hAnsi="David" w:cs="David"/>
          <w:rtl/>
        </w:rPr>
        <w:t xml:space="preserve">רח' </w:t>
      </w:r>
      <w:proofErr w:type="spellStart"/>
      <w:r w:rsidRPr="00E60D45">
        <w:rPr>
          <w:rFonts w:ascii="David" w:hAnsi="David" w:cs="David"/>
          <w:rtl/>
        </w:rPr>
        <w:t>מיקוניס</w:t>
      </w:r>
      <w:proofErr w:type="spellEnd"/>
      <w:r w:rsidRPr="00E60D45">
        <w:rPr>
          <w:rFonts w:ascii="David" w:hAnsi="David" w:cs="David"/>
          <w:rtl/>
        </w:rPr>
        <w:t xml:space="preserve"> </w:t>
      </w:r>
      <w:r w:rsidRPr="00E60D45">
        <w:rPr>
          <w:rFonts w:ascii="David" w:hAnsi="David" w:cs="David"/>
        </w:rPr>
        <w:t>3</w:t>
      </w:r>
      <w:r w:rsidRPr="00E60D45">
        <w:rPr>
          <w:rFonts w:ascii="David" w:hAnsi="David" w:cs="David"/>
          <w:rtl/>
        </w:rPr>
        <w:t xml:space="preserve"> ת"א, טל' </w:t>
      </w:r>
      <w:r w:rsidRPr="00E60D45">
        <w:rPr>
          <w:rFonts w:ascii="David" w:hAnsi="David" w:cs="David"/>
        </w:rPr>
        <w:t>03-6887203</w:t>
      </w:r>
      <w:r w:rsidRPr="00E60D45">
        <w:rPr>
          <w:rFonts w:ascii="David" w:hAnsi="David" w:cs="David"/>
          <w:rtl/>
        </w:rPr>
        <w:t xml:space="preserve">  פקס </w:t>
      </w:r>
      <w:r w:rsidRPr="00E60D45">
        <w:rPr>
          <w:rFonts w:ascii="David" w:hAnsi="David" w:cs="David"/>
        </w:rPr>
        <w:t>03-6887504</w:t>
      </w:r>
    </w:p>
    <w:p w:rsidR="00B82FA8" w:rsidRDefault="00B82FA8" w:rsidP="001D472D">
      <w:pPr>
        <w:autoSpaceDE w:val="0"/>
        <w:autoSpaceDN w:val="0"/>
        <w:bidi/>
        <w:adjustRightInd w:val="0"/>
        <w:rPr>
          <w:rFonts w:ascii="David" w:hAnsi="David" w:cs="David"/>
          <w:rtl/>
        </w:rPr>
      </w:pPr>
    </w:p>
    <w:p w:rsidR="00B82FA8" w:rsidRPr="004A546C" w:rsidRDefault="00B82FA8" w:rsidP="004A546C">
      <w:pPr>
        <w:autoSpaceDE w:val="0"/>
        <w:autoSpaceDN w:val="0"/>
        <w:bidi/>
        <w:adjustRightInd w:val="0"/>
        <w:spacing w:before="120"/>
        <w:ind w:left="-6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4A546C">
        <w:rPr>
          <w:rFonts w:ascii="David" w:hAnsi="David" w:cs="David" w:hint="cs"/>
          <w:b/>
          <w:bCs/>
          <w:sz w:val="32"/>
          <w:szCs w:val="32"/>
          <w:u w:val="single"/>
          <w:rtl/>
        </w:rPr>
        <w:t>בקש</w:t>
      </w:r>
      <w:r w:rsidR="001D472D" w:rsidRPr="004A546C">
        <w:rPr>
          <w:rFonts w:ascii="David" w:hAnsi="David" w:cs="David" w:hint="cs"/>
          <w:b/>
          <w:bCs/>
          <w:sz w:val="32"/>
          <w:szCs w:val="32"/>
          <w:u w:val="single"/>
          <w:rtl/>
        </w:rPr>
        <w:t>ה מתוקנת</w:t>
      </w:r>
      <w:r w:rsidRPr="004A546C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1D472D" w:rsidRPr="004A546C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מטעם </w:t>
      </w:r>
      <w:r w:rsidRPr="004A546C">
        <w:rPr>
          <w:rFonts w:ascii="David" w:hAnsi="David" w:cs="David" w:hint="cs"/>
          <w:b/>
          <w:bCs/>
          <w:sz w:val="32"/>
          <w:szCs w:val="32"/>
          <w:u w:val="single"/>
          <w:rtl/>
        </w:rPr>
        <w:t>המערער (ג): בקשה להבהרה</w:t>
      </w:r>
      <w:r w:rsidR="001A6386" w:rsidRPr="004A546C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ולהנמקה</w:t>
      </w:r>
    </w:p>
    <w:p w:rsidR="00B82FA8" w:rsidRDefault="00B82FA8" w:rsidP="00925765">
      <w:pPr>
        <w:autoSpaceDE w:val="0"/>
        <w:autoSpaceDN w:val="0"/>
        <w:bidi/>
        <w:adjustRightInd w:val="0"/>
        <w:spacing w:line="360" w:lineRule="auto"/>
        <w:ind w:left="2880"/>
        <w:rPr>
          <w:rFonts w:ascii="David" w:hAnsi="David" w:cs="David"/>
          <w:rtl/>
        </w:rPr>
      </w:pPr>
    </w:p>
    <w:p w:rsidR="00B82FA8" w:rsidRDefault="00B82FA8" w:rsidP="00925765">
      <w:pPr>
        <w:autoSpaceDE w:val="0"/>
        <w:autoSpaceDN w:val="0"/>
        <w:bidi/>
        <w:adjustRightInd w:val="0"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מבוקש </w:t>
      </w:r>
      <w:proofErr w:type="spellStart"/>
      <w:r>
        <w:rPr>
          <w:rFonts w:ascii="David" w:hAnsi="David" w:cs="David" w:hint="cs"/>
          <w:rtl/>
        </w:rPr>
        <w:t>מכב</w:t>
      </w:r>
      <w:proofErr w:type="spellEnd"/>
      <w:r>
        <w:rPr>
          <w:rFonts w:ascii="David" w:hAnsi="David" w:cs="David" w:hint="cs"/>
          <w:rtl/>
        </w:rPr>
        <w:t>' הנשיאה להבהיר ולנמק מספר עניינים בפסק דינה מיום 18.11.20 שאותו קיבלתי ביום 11.12.20</w:t>
      </w:r>
      <w:r w:rsidR="00F4752A">
        <w:rPr>
          <w:rFonts w:ascii="David" w:hAnsi="David" w:cs="David" w:hint="cs"/>
          <w:rtl/>
        </w:rPr>
        <w:t xml:space="preserve"> (להלן: </w:t>
      </w:r>
      <w:r w:rsidR="00F4752A" w:rsidRPr="00F4752A">
        <w:rPr>
          <w:rFonts w:ascii="David" w:hAnsi="David" w:cs="David" w:hint="cs"/>
          <w:b/>
          <w:bCs/>
          <w:rtl/>
        </w:rPr>
        <w:t>פסה"ד</w:t>
      </w:r>
      <w:r w:rsidR="00F4752A">
        <w:rPr>
          <w:rFonts w:ascii="David" w:hAnsi="David" w:cs="David" w:hint="cs"/>
          <w:rtl/>
        </w:rPr>
        <w:t>)</w:t>
      </w:r>
      <w:r w:rsidR="0007703C">
        <w:rPr>
          <w:rFonts w:ascii="David" w:hAnsi="David" w:cs="David" w:hint="cs"/>
          <w:rtl/>
        </w:rPr>
        <w:t>, שדרושים לצורך המשך בירור טענותיי לעניין ניגוד העניינים אולם לא ברור אם כב' הנשיאה הכריעה בהם.</w:t>
      </w:r>
      <w:bookmarkStart w:id="0" w:name="_GoBack"/>
      <w:bookmarkEnd w:id="0"/>
    </w:p>
    <w:p w:rsidR="001D472D" w:rsidRDefault="00E712EE" w:rsidP="00E712EE">
      <w:pPr>
        <w:autoSpaceDE w:val="0"/>
        <w:autoSpaceDN w:val="0"/>
        <w:bidi/>
        <w:adjustRightInd w:val="0"/>
        <w:spacing w:before="12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ה</w:t>
      </w:r>
      <w:r w:rsidR="001D472D" w:rsidRPr="001D472D">
        <w:rPr>
          <w:rFonts w:ascii="David" w:hAnsi="David" w:cs="David" w:hint="cs"/>
          <w:b/>
          <w:bCs/>
          <w:rtl/>
        </w:rPr>
        <w:t xml:space="preserve">תיקון </w:t>
      </w:r>
      <w:r>
        <w:rPr>
          <w:rFonts w:ascii="David" w:hAnsi="David" w:cs="David" w:hint="cs"/>
          <w:b/>
          <w:bCs/>
          <w:rtl/>
        </w:rPr>
        <w:t xml:space="preserve">לעומת </w:t>
      </w:r>
      <w:r w:rsidR="001D472D" w:rsidRPr="001D472D">
        <w:rPr>
          <w:rFonts w:ascii="David" w:hAnsi="David" w:cs="David" w:hint="cs"/>
          <w:b/>
          <w:bCs/>
          <w:rtl/>
        </w:rPr>
        <w:t>בקשה</w:t>
      </w:r>
      <w:r w:rsidR="001D472D">
        <w:rPr>
          <w:rFonts w:ascii="David" w:hAnsi="David" w:cs="David" w:hint="cs"/>
          <w:b/>
          <w:bCs/>
          <w:rtl/>
        </w:rPr>
        <w:t xml:space="preserve"> ג' הקודמת</w:t>
      </w:r>
      <w:r w:rsidR="001D472D" w:rsidRPr="001D472D">
        <w:rPr>
          <w:rFonts w:ascii="David" w:hAnsi="David" w:cs="David" w:hint="cs"/>
          <w:b/>
          <w:bCs/>
          <w:rtl/>
        </w:rPr>
        <w:t>:</w:t>
      </w:r>
      <w:r w:rsidR="001D472D">
        <w:rPr>
          <w:rFonts w:ascii="David" w:hAnsi="David" w:cs="David" w:hint="cs"/>
          <w:rtl/>
        </w:rPr>
        <w:t xml:space="preserve"> הוספת סע' 6 לבקשה </w:t>
      </w:r>
      <w:r>
        <w:rPr>
          <w:rFonts w:ascii="David" w:hAnsi="David" w:cs="David" w:hint="cs"/>
          <w:rtl/>
        </w:rPr>
        <w:t>ו</w:t>
      </w:r>
      <w:r w:rsidR="001D472D">
        <w:rPr>
          <w:rFonts w:ascii="David" w:hAnsi="David" w:cs="David" w:hint="cs"/>
          <w:rtl/>
        </w:rPr>
        <w:t>הנספח 1 לו</w:t>
      </w:r>
      <w:r>
        <w:rPr>
          <w:rFonts w:ascii="David" w:hAnsi="David" w:cs="David" w:hint="cs"/>
          <w:rtl/>
        </w:rPr>
        <w:t xml:space="preserve"> ואיחוד סע' 12 ו-13 </w:t>
      </w:r>
      <w:proofErr w:type="spellStart"/>
      <w:r>
        <w:rPr>
          <w:rFonts w:ascii="David" w:hAnsi="David" w:cs="David" w:hint="cs"/>
          <w:rtl/>
        </w:rPr>
        <w:t>לסע</w:t>
      </w:r>
      <w:proofErr w:type="spellEnd"/>
      <w:r>
        <w:rPr>
          <w:rFonts w:ascii="David" w:hAnsi="David" w:cs="David" w:hint="cs"/>
          <w:rtl/>
        </w:rPr>
        <w:t>' אחד.</w:t>
      </w:r>
    </w:p>
    <w:p w:rsidR="0062686D" w:rsidRDefault="0062686D" w:rsidP="0062686D">
      <w:pPr>
        <w:autoSpaceDE w:val="0"/>
        <w:autoSpaceDN w:val="0"/>
        <w:bidi/>
        <w:adjustRightInd w:val="0"/>
        <w:rPr>
          <w:rFonts w:ascii="David" w:hAnsi="David" w:cs="David"/>
          <w:rtl/>
        </w:rPr>
      </w:pPr>
    </w:p>
    <w:p w:rsidR="0062686D" w:rsidRPr="0062686D" w:rsidRDefault="0062686D" w:rsidP="0062686D">
      <w:pPr>
        <w:autoSpaceDE w:val="0"/>
        <w:autoSpaceDN w:val="0"/>
        <w:bidi/>
        <w:adjustRightInd w:val="0"/>
        <w:rPr>
          <w:rFonts w:ascii="David" w:hAnsi="David" w:cs="David"/>
          <w:b/>
          <w:bCs/>
          <w:u w:val="single"/>
          <w:rtl/>
        </w:rPr>
      </w:pPr>
      <w:r w:rsidRPr="0062686D">
        <w:rPr>
          <w:rFonts w:ascii="David" w:hAnsi="David" w:cs="David" w:hint="cs"/>
          <w:b/>
          <w:bCs/>
          <w:u w:val="single"/>
          <w:rtl/>
        </w:rPr>
        <w:t>ואלו נימוקי הבקשה:</w:t>
      </w:r>
    </w:p>
    <w:p w:rsidR="00B82FA8" w:rsidRDefault="00B82FA8" w:rsidP="00B82FA8">
      <w:pPr>
        <w:autoSpaceDE w:val="0"/>
        <w:autoSpaceDN w:val="0"/>
        <w:bidi/>
        <w:adjustRightInd w:val="0"/>
        <w:rPr>
          <w:rFonts w:ascii="David" w:hAnsi="David" w:cs="David"/>
          <w:rtl/>
        </w:rPr>
      </w:pPr>
    </w:p>
    <w:p w:rsidR="000E38F9" w:rsidRDefault="0050302C" w:rsidP="00E712E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המערער </w:t>
      </w:r>
      <w:r w:rsidR="00D84BE8">
        <w:rPr>
          <w:rFonts w:ascii="David" w:hAnsi="David" w:cs="David" w:hint="cs"/>
          <w:rtl/>
        </w:rPr>
        <w:t xml:space="preserve">הצביע בשני </w:t>
      </w:r>
      <w:r w:rsidR="007205A5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 xml:space="preserve">ערעורים </w:t>
      </w:r>
      <w:r w:rsidR="007205A5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 xml:space="preserve">דומים </w:t>
      </w:r>
      <w:r w:rsidR="00D84BE8">
        <w:rPr>
          <w:rFonts w:ascii="David" w:hAnsi="David" w:cs="David" w:hint="cs"/>
          <w:rtl/>
        </w:rPr>
        <w:t xml:space="preserve">שהגיש על מצב </w:t>
      </w:r>
      <w:r w:rsidR="00F4752A">
        <w:rPr>
          <w:rFonts w:ascii="David" w:hAnsi="David" w:cs="David" w:hint="cs"/>
          <w:rtl/>
        </w:rPr>
        <w:t xml:space="preserve">של </w:t>
      </w:r>
      <w:r w:rsidR="00D84BE8">
        <w:rPr>
          <w:rFonts w:ascii="David" w:hAnsi="David" w:cs="David" w:hint="cs"/>
          <w:rtl/>
        </w:rPr>
        <w:t xml:space="preserve">ניגוד עניינים חריף ומובנה שבו נמצאים כל השופטים העמיתים במדינת ישראל, </w:t>
      </w:r>
      <w:r w:rsidR="004F1858">
        <w:rPr>
          <w:rFonts w:ascii="David" w:hAnsi="David" w:cs="David" w:hint="cs"/>
          <w:rtl/>
        </w:rPr>
        <w:t xml:space="preserve">ובמיוחד </w:t>
      </w:r>
      <w:r w:rsidR="00D84BE8">
        <w:rPr>
          <w:rFonts w:ascii="David" w:hAnsi="David" w:cs="David" w:hint="cs"/>
          <w:rtl/>
        </w:rPr>
        <w:t>השופטת עמיתה שרה דותן</w:t>
      </w:r>
      <w:r w:rsidR="004F1858">
        <w:rPr>
          <w:rFonts w:ascii="David" w:hAnsi="David" w:cs="David" w:hint="cs"/>
          <w:rtl/>
        </w:rPr>
        <w:t xml:space="preserve"> לאור היקף שני הערעורים שהופנה אליה,</w:t>
      </w:r>
      <w:r w:rsidR="00D84BE8">
        <w:rPr>
          <w:rFonts w:ascii="David" w:hAnsi="David" w:cs="David" w:hint="cs"/>
          <w:rtl/>
        </w:rPr>
        <w:t xml:space="preserve"> </w:t>
      </w:r>
      <w:r w:rsidR="00902593">
        <w:rPr>
          <w:rFonts w:ascii="David" w:hAnsi="David" w:cs="David" w:hint="cs"/>
          <w:rtl/>
        </w:rPr>
        <w:t>כי הם מרוויחים</w:t>
      </w:r>
      <w:r w:rsidR="004F1858">
        <w:rPr>
          <w:rFonts w:ascii="David" w:hAnsi="David" w:cs="David" w:hint="cs"/>
          <w:rtl/>
        </w:rPr>
        <w:t xml:space="preserve"> שכר כולל של </w:t>
      </w:r>
      <w:r>
        <w:rPr>
          <w:rFonts w:ascii="David" w:hAnsi="David" w:cs="David" w:hint="cs"/>
          <w:rtl/>
        </w:rPr>
        <w:t>16</w:t>
      </w:r>
      <w:r w:rsidR="0007703C">
        <w:rPr>
          <w:rFonts w:ascii="David" w:hAnsi="David" w:cs="David" w:hint="cs"/>
          <w:rtl/>
        </w:rPr>
        <w:t>5</w:t>
      </w:r>
      <w:r>
        <w:rPr>
          <w:rFonts w:ascii="David" w:hAnsi="David" w:cs="David" w:hint="cs"/>
          <w:rtl/>
        </w:rPr>
        <w:t xml:space="preserve"> ₪ עבור טיפול </w:t>
      </w:r>
      <w:r w:rsidR="004F1858">
        <w:rPr>
          <w:rFonts w:ascii="David" w:hAnsi="David" w:cs="David" w:hint="cs"/>
          <w:rtl/>
        </w:rPr>
        <w:t>בכל אחד מהערעורים</w:t>
      </w:r>
      <w:r>
        <w:rPr>
          <w:rFonts w:ascii="David" w:hAnsi="David" w:cs="David" w:hint="cs"/>
          <w:rtl/>
        </w:rPr>
        <w:t xml:space="preserve">, גם אם </w:t>
      </w:r>
      <w:r w:rsidR="00F4752A">
        <w:rPr>
          <w:rFonts w:ascii="David" w:hAnsi="David" w:cs="David" w:hint="cs"/>
          <w:rtl/>
        </w:rPr>
        <w:t>נדרשים</w:t>
      </w:r>
      <w:r>
        <w:rPr>
          <w:rFonts w:ascii="David" w:hAnsi="David" w:cs="David" w:hint="cs"/>
          <w:rtl/>
        </w:rPr>
        <w:t xml:space="preserve"> 10, 20, 50 או 100 שעות כדי לתת פסק דין ראוי וכדין ע"י מותב שעושה עבודה נאמנה</w:t>
      </w:r>
      <w:r w:rsidR="00D84BE8">
        <w:rPr>
          <w:rFonts w:ascii="David" w:hAnsi="David" w:cs="David" w:hint="cs"/>
          <w:rtl/>
        </w:rPr>
        <w:t xml:space="preserve"> וכדין. ניגוד עניינים זה יגרום להם </w:t>
      </w:r>
      <w:r>
        <w:rPr>
          <w:rFonts w:ascii="David" w:hAnsi="David" w:cs="David" w:hint="cs"/>
          <w:rtl/>
        </w:rPr>
        <w:t>להפחית לאפס את עבודת</w:t>
      </w:r>
      <w:r w:rsidR="00902593">
        <w:rPr>
          <w:rFonts w:ascii="David" w:hAnsi="David" w:cs="David" w:hint="cs"/>
          <w:rtl/>
        </w:rPr>
        <w:t>ם בתיק</w:t>
      </w:r>
      <w:r w:rsidR="009E59C2">
        <w:rPr>
          <w:rFonts w:ascii="David" w:hAnsi="David" w:cs="David" w:hint="cs"/>
          <w:rtl/>
        </w:rPr>
        <w:t xml:space="preserve">, </w:t>
      </w:r>
      <w:r w:rsidR="00D84BE8">
        <w:rPr>
          <w:rFonts w:ascii="David" w:hAnsi="David" w:cs="David" w:hint="cs"/>
          <w:rtl/>
        </w:rPr>
        <w:t xml:space="preserve">וכראיה הביא המערער </w:t>
      </w:r>
      <w:r w:rsidR="009E59C2">
        <w:rPr>
          <w:rFonts w:ascii="David" w:hAnsi="David" w:cs="David" w:hint="cs"/>
          <w:rtl/>
        </w:rPr>
        <w:t xml:space="preserve"> 5 הליכים בענייני</w:t>
      </w:r>
      <w:r w:rsidR="007205A5">
        <w:rPr>
          <w:rFonts w:ascii="David" w:hAnsi="David" w:cs="David" w:hint="cs"/>
          <w:rtl/>
        </w:rPr>
        <w:t>ו</w:t>
      </w:r>
      <w:r w:rsidR="009E59C2">
        <w:rPr>
          <w:rFonts w:ascii="David" w:hAnsi="David" w:cs="David" w:hint="cs"/>
          <w:rtl/>
        </w:rPr>
        <w:t xml:space="preserve"> </w:t>
      </w:r>
      <w:r w:rsidR="0099100C">
        <w:rPr>
          <w:rFonts w:ascii="David" w:hAnsi="David" w:cs="David" w:hint="cs"/>
          <w:rtl/>
        </w:rPr>
        <w:t>לצורך הוכחת התנהלות סדרתית</w:t>
      </w:r>
      <w:r w:rsidR="00D84BE8">
        <w:rPr>
          <w:rFonts w:ascii="David" w:hAnsi="David" w:cs="David" w:hint="cs"/>
          <w:rtl/>
        </w:rPr>
        <w:t xml:space="preserve"> זאת.</w:t>
      </w:r>
    </w:p>
    <w:p w:rsidR="00D84BE8" w:rsidRPr="00BE0BC4" w:rsidRDefault="0007703C" w:rsidP="0075562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lastRenderedPageBreak/>
        <w:t xml:space="preserve">פסה"ד </w:t>
      </w:r>
      <w:r w:rsidR="00D84BE8" w:rsidRPr="00BE0BC4">
        <w:rPr>
          <w:rFonts w:ascii="David" w:hAnsi="David" w:cs="David" w:hint="cs"/>
          <w:rtl/>
        </w:rPr>
        <w:t xml:space="preserve">מציג תמונה </w:t>
      </w:r>
      <w:r w:rsidR="00E97305" w:rsidRPr="00BE0BC4">
        <w:rPr>
          <w:rFonts w:ascii="David" w:hAnsi="David" w:cs="David" w:hint="cs"/>
          <w:rtl/>
        </w:rPr>
        <w:t xml:space="preserve">לא נכונה </w:t>
      </w:r>
      <w:r>
        <w:rPr>
          <w:rFonts w:ascii="David" w:hAnsi="David" w:cs="David" w:hint="cs"/>
          <w:rtl/>
        </w:rPr>
        <w:t xml:space="preserve">של טענות הפסלות של המערער, </w:t>
      </w:r>
      <w:r w:rsidR="00D84BE8" w:rsidRPr="00BE0BC4">
        <w:rPr>
          <w:rFonts w:ascii="David" w:hAnsi="David" w:cs="David" w:hint="cs"/>
          <w:rtl/>
        </w:rPr>
        <w:t xml:space="preserve">לפיה המערער ביקש לפסול את השופטת (עמיתה) שרה דותן בגלל ההחלטה </w:t>
      </w:r>
      <w:r w:rsidR="0075562C">
        <w:rPr>
          <w:rFonts w:ascii="David" w:hAnsi="David" w:cs="David" w:hint="cs"/>
          <w:rtl/>
        </w:rPr>
        <w:t xml:space="preserve">על </w:t>
      </w:r>
      <w:r w:rsidR="00D84BE8" w:rsidRPr="00BE0BC4">
        <w:rPr>
          <w:rFonts w:ascii="David" w:hAnsi="David" w:cs="David" w:hint="cs"/>
          <w:rtl/>
        </w:rPr>
        <w:t>צמצם את עמודי כתב הערעור או בגלל שלא נתנה החלטה בבקשתו לקבלת ראיות נוספות בערעור</w:t>
      </w:r>
      <w:r w:rsidR="00891297" w:rsidRPr="00BE0BC4">
        <w:rPr>
          <w:rFonts w:ascii="David" w:hAnsi="David" w:cs="David" w:hint="cs"/>
          <w:rtl/>
        </w:rPr>
        <w:t xml:space="preserve">, </w:t>
      </w:r>
      <w:r w:rsidR="00891297" w:rsidRPr="0007703C">
        <w:rPr>
          <w:rFonts w:ascii="David" w:hAnsi="David" w:cs="David" w:hint="cs"/>
          <w:b/>
          <w:bCs/>
          <w:rtl/>
        </w:rPr>
        <w:t>אבל אלו בכלל לא הטענות העיקריות של המערער.</w:t>
      </w:r>
    </w:p>
    <w:p w:rsidR="00891297" w:rsidRDefault="00891297" w:rsidP="000C516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הטענות </w:t>
      </w:r>
      <w:proofErr w:type="spellStart"/>
      <w:r>
        <w:rPr>
          <w:rFonts w:ascii="David" w:hAnsi="David" w:cs="David" w:hint="cs"/>
          <w:rtl/>
        </w:rPr>
        <w:t>ה</w:t>
      </w:r>
      <w:r w:rsidR="006D04F6">
        <w:rPr>
          <w:rFonts w:ascii="David" w:hAnsi="David" w:cs="David" w:hint="cs"/>
          <w:rtl/>
        </w:rPr>
        <w:t>אמיתיות</w:t>
      </w:r>
      <w:proofErr w:type="spellEnd"/>
      <w:r w:rsidR="006D04F6">
        <w:rPr>
          <w:rFonts w:ascii="David" w:hAnsi="David" w:cs="David" w:hint="cs"/>
          <w:rtl/>
        </w:rPr>
        <w:t xml:space="preserve"> וה</w:t>
      </w:r>
      <w:r>
        <w:rPr>
          <w:rFonts w:ascii="David" w:hAnsi="David" w:cs="David" w:hint="cs"/>
          <w:rtl/>
        </w:rPr>
        <w:t>עיקריות של המערער ה</w:t>
      </w:r>
      <w:r w:rsidR="00F4752A">
        <w:rPr>
          <w:rFonts w:ascii="David" w:hAnsi="David" w:cs="David" w:hint="cs"/>
          <w:rtl/>
        </w:rPr>
        <w:t>ן</w:t>
      </w:r>
      <w:r>
        <w:rPr>
          <w:rFonts w:ascii="David" w:hAnsi="David" w:cs="David" w:hint="cs"/>
          <w:rtl/>
        </w:rPr>
        <w:t xml:space="preserve"> </w:t>
      </w:r>
      <w:r w:rsidRPr="00891297">
        <w:rPr>
          <w:rFonts w:ascii="David" w:hAnsi="David" w:cs="David" w:hint="cs"/>
          <w:b/>
          <w:bCs/>
          <w:rtl/>
        </w:rPr>
        <w:t>(א)</w:t>
      </w:r>
      <w:r>
        <w:rPr>
          <w:rFonts w:ascii="David" w:hAnsi="David" w:cs="David" w:hint="cs"/>
          <w:rtl/>
        </w:rPr>
        <w:t xml:space="preserve"> שופט שמרוויח 165 ₪ לערעור שדורש עשרות שעות עבודה נימצא בניגוד עניינים</w:t>
      </w:r>
      <w:r w:rsidR="003955E1">
        <w:rPr>
          <w:rFonts w:ascii="David" w:hAnsi="David" w:cs="David" w:hint="cs"/>
          <w:rtl/>
        </w:rPr>
        <w:t xml:space="preserve"> חריף ומובנה שיגרום לו להפחית  לאפס (כפי שאכן קרה) את עבודתו על חשבון הזכויות </w:t>
      </w:r>
      <w:r w:rsidR="001719A2">
        <w:rPr>
          <w:rFonts w:ascii="David" w:hAnsi="David" w:cs="David" w:hint="cs"/>
          <w:rtl/>
        </w:rPr>
        <w:t xml:space="preserve">הדיוניות והמהותיות של בעל הדין </w:t>
      </w:r>
      <w:r w:rsidRPr="00891297">
        <w:rPr>
          <w:rFonts w:ascii="David" w:hAnsi="David" w:cs="David" w:hint="cs"/>
          <w:b/>
          <w:bCs/>
          <w:rtl/>
        </w:rPr>
        <w:t>(ב)</w:t>
      </w:r>
      <w:r>
        <w:rPr>
          <w:rFonts w:ascii="David" w:hAnsi="David" w:cs="David" w:hint="cs"/>
          <w:rtl/>
        </w:rPr>
        <w:t xml:space="preserve"> </w:t>
      </w:r>
      <w:r w:rsidR="006D04F6">
        <w:rPr>
          <w:rFonts w:ascii="David" w:hAnsi="David" w:cs="David" w:hint="cs"/>
          <w:rtl/>
        </w:rPr>
        <w:t xml:space="preserve">שופט שיודע שהוא פועל בניגוד עניינים ויודע שלא יוכל לעשות את עבודתו נאמנה וכראוי הוא פסול, </w:t>
      </w:r>
      <w:r w:rsidR="006D04F6" w:rsidRPr="006D04F6">
        <w:rPr>
          <w:rFonts w:ascii="David" w:hAnsi="David" w:cs="David" w:hint="cs"/>
          <w:b/>
          <w:bCs/>
          <w:rtl/>
        </w:rPr>
        <w:t>(ג)</w:t>
      </w:r>
      <w:r w:rsidR="006D04F6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שופט שנותן לבעל דין הוראה שהוא יודע שלא ניתן עמוד בה מטה משפט ומעוות את הדין בכוונה, ולכן הוא פסול, </w:t>
      </w:r>
      <w:r w:rsidRPr="00891297">
        <w:rPr>
          <w:rFonts w:ascii="David" w:hAnsi="David" w:cs="David" w:hint="cs"/>
          <w:b/>
          <w:bCs/>
          <w:rtl/>
        </w:rPr>
        <w:t>(</w:t>
      </w:r>
      <w:r w:rsidR="006D04F6">
        <w:rPr>
          <w:rFonts w:ascii="David" w:hAnsi="David" w:cs="David" w:hint="cs"/>
          <w:b/>
          <w:bCs/>
          <w:rtl/>
        </w:rPr>
        <w:t>ד</w:t>
      </w:r>
      <w:r w:rsidRPr="00891297">
        <w:rPr>
          <w:rFonts w:ascii="David" w:hAnsi="David" w:cs="David" w:hint="cs"/>
          <w:b/>
          <w:bCs/>
          <w:rtl/>
        </w:rPr>
        <w:t>)</w:t>
      </w:r>
      <w:r>
        <w:rPr>
          <w:rFonts w:ascii="David" w:hAnsi="David" w:cs="David" w:hint="cs"/>
          <w:rtl/>
        </w:rPr>
        <w:t xml:space="preserve"> שופט שכותב שקר פוזיטיבי בהחלטה או פס"ד </w:t>
      </w:r>
      <w:r w:rsidR="00F4752A">
        <w:rPr>
          <w:rFonts w:ascii="David" w:hAnsi="David" w:cs="David" w:hint="cs"/>
          <w:rtl/>
        </w:rPr>
        <w:t xml:space="preserve">(ויותר מפעם אחת) </w:t>
      </w:r>
      <w:r>
        <w:rPr>
          <w:rFonts w:ascii="David" w:hAnsi="David" w:cs="David" w:hint="cs"/>
          <w:rtl/>
        </w:rPr>
        <w:t>כדי לחפות על התנהלותו הלא תקינה הוא פס</w:t>
      </w:r>
      <w:r w:rsidR="00E75BE2">
        <w:rPr>
          <w:rFonts w:ascii="David" w:hAnsi="David" w:cs="David" w:hint="cs"/>
          <w:rtl/>
        </w:rPr>
        <w:t xml:space="preserve">ול, ולא רק בתיק הנדון, אלא בכלל (להלן: טענות </w:t>
      </w:r>
      <w:r w:rsidR="00E75BE2" w:rsidRPr="00E75BE2">
        <w:rPr>
          <w:rFonts w:ascii="David" w:hAnsi="David" w:cs="David" w:hint="cs"/>
          <w:b/>
          <w:bCs/>
          <w:rtl/>
        </w:rPr>
        <w:t xml:space="preserve">"א", "ב", "ג" </w:t>
      </w:r>
      <w:proofErr w:type="spellStart"/>
      <w:r w:rsidR="00E75BE2" w:rsidRPr="00E75BE2">
        <w:rPr>
          <w:rFonts w:ascii="David" w:hAnsi="David" w:cs="David" w:hint="cs"/>
          <w:b/>
          <w:bCs/>
          <w:rtl/>
        </w:rPr>
        <w:t>ו"ד</w:t>
      </w:r>
      <w:proofErr w:type="spellEnd"/>
      <w:r w:rsidR="00E75BE2" w:rsidRPr="00E75BE2">
        <w:rPr>
          <w:rFonts w:ascii="David" w:hAnsi="David" w:cs="David" w:hint="cs"/>
          <w:b/>
          <w:bCs/>
          <w:rtl/>
        </w:rPr>
        <w:t>"</w:t>
      </w:r>
      <w:r w:rsidR="00E75BE2">
        <w:rPr>
          <w:rFonts w:ascii="David" w:hAnsi="David" w:cs="David" w:hint="cs"/>
          <w:rtl/>
        </w:rPr>
        <w:t xml:space="preserve"> בהתאמה).</w:t>
      </w:r>
    </w:p>
    <w:p w:rsidR="00E75BE2" w:rsidRPr="00891297" w:rsidRDefault="00E75BE2" w:rsidP="00BE0BC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למעשה, כב' הנשיאה ניסחה והציגה את הערעור באופן שונה </w:t>
      </w:r>
      <w:r>
        <w:rPr>
          <w:rFonts w:ascii="David" w:hAnsi="David" w:cs="David" w:hint="cs"/>
          <w:rtl/>
        </w:rPr>
        <w:t xml:space="preserve">והפוך </w:t>
      </w:r>
      <w:r>
        <w:rPr>
          <w:rFonts w:ascii="David" w:hAnsi="David" w:cs="David" w:hint="cs"/>
          <w:rtl/>
        </w:rPr>
        <w:t xml:space="preserve">לגמרי ונתנה בעצם פסק דין בערעורים אחרים לגמרי מטענות המערער, ע"י שהפכה את </w:t>
      </w:r>
      <w:r w:rsidRPr="000C5169">
        <w:rPr>
          <w:rFonts w:ascii="David" w:hAnsi="David" w:cs="David" w:hint="cs"/>
          <w:b/>
          <w:bCs/>
          <w:u w:val="single"/>
          <w:rtl/>
        </w:rPr>
        <w:t>הגורם</w:t>
      </w:r>
      <w:r>
        <w:rPr>
          <w:rFonts w:ascii="David" w:hAnsi="David" w:cs="David" w:hint="cs"/>
          <w:rtl/>
        </w:rPr>
        <w:t xml:space="preserve"> לפסלות שטענתי, ניגוד העניינים</w:t>
      </w:r>
      <w:r>
        <w:rPr>
          <w:rFonts w:ascii="David" w:hAnsi="David" w:cs="David" w:hint="cs"/>
          <w:rtl/>
        </w:rPr>
        <w:t xml:space="preserve"> (טענה "א" לעיל</w:t>
      </w:r>
      <w:r w:rsidR="00BE0BC4">
        <w:rPr>
          <w:rFonts w:ascii="David" w:hAnsi="David" w:cs="David" w:hint="cs"/>
          <w:rtl/>
        </w:rPr>
        <w:t>)</w:t>
      </w:r>
      <w:r>
        <w:rPr>
          <w:rFonts w:ascii="David" w:hAnsi="David" w:cs="David" w:hint="cs"/>
          <w:rtl/>
        </w:rPr>
        <w:t xml:space="preserve"> לעניין שולי, ואילו את </w:t>
      </w:r>
      <w:r w:rsidRPr="000C5169">
        <w:rPr>
          <w:rFonts w:ascii="David" w:hAnsi="David" w:cs="David" w:hint="cs"/>
          <w:b/>
          <w:bCs/>
          <w:u w:val="single"/>
          <w:rtl/>
        </w:rPr>
        <w:t>תוצאות</w:t>
      </w:r>
      <w:r>
        <w:rPr>
          <w:rFonts w:ascii="David" w:hAnsi="David" w:cs="David" w:hint="cs"/>
          <w:rtl/>
        </w:rPr>
        <w:t xml:space="preserve"> של ניגוד העניינים, קרי התנהלות בידיעה שמדובר בניגוד עניינים, הפחתת מס' העמודים ל-10 עמ' וכתיבת שקרים פוזיטיביים כדי להטות משפט</w:t>
      </w:r>
      <w:r>
        <w:rPr>
          <w:rFonts w:ascii="David" w:hAnsi="David" w:cs="David" w:hint="cs"/>
          <w:rtl/>
        </w:rPr>
        <w:t xml:space="preserve"> (טענות </w:t>
      </w:r>
      <w:r w:rsidR="00BE0BC4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>ב</w:t>
      </w:r>
      <w:r w:rsidR="00BE0BC4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 xml:space="preserve">, </w:t>
      </w:r>
      <w:r w:rsidR="00BE0BC4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>ג</w:t>
      </w:r>
      <w:r w:rsidR="00BE0BC4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ו</w:t>
      </w:r>
      <w:r w:rsidR="00BE0BC4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>ד</w:t>
      </w:r>
      <w:proofErr w:type="spellEnd"/>
      <w:r w:rsidR="00BE0BC4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>)</w:t>
      </w:r>
      <w:r>
        <w:rPr>
          <w:rFonts w:ascii="David" w:hAnsi="David" w:cs="David" w:hint="cs"/>
          <w:rtl/>
        </w:rPr>
        <w:t>, לעניינים המרכזיים (סע' 7 לפס"ד)</w:t>
      </w:r>
      <w:r>
        <w:rPr>
          <w:rFonts w:ascii="David" w:hAnsi="David" w:cs="David" w:hint="cs"/>
          <w:rtl/>
        </w:rPr>
        <w:t>, ובהן הכריע</w:t>
      </w:r>
      <w:r w:rsidR="00BE0BC4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 xml:space="preserve"> ע"פ מבחן משוא הפנים.</w:t>
      </w:r>
    </w:p>
    <w:p w:rsidR="000C5169" w:rsidRDefault="001719A2" w:rsidP="00BB0C5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באשר ל</w:t>
      </w:r>
      <w:r w:rsidR="00E75BE2">
        <w:rPr>
          <w:rFonts w:ascii="David" w:hAnsi="David" w:cs="David" w:hint="cs"/>
          <w:rtl/>
        </w:rPr>
        <w:t>טענ</w:t>
      </w:r>
      <w:r w:rsidR="00BB0C5A">
        <w:rPr>
          <w:rFonts w:ascii="David" w:hAnsi="David" w:cs="David" w:hint="cs"/>
          <w:rtl/>
        </w:rPr>
        <w:t xml:space="preserve">ות </w:t>
      </w:r>
      <w:r w:rsidR="00E75BE2" w:rsidRPr="00E75BE2">
        <w:rPr>
          <w:rFonts w:ascii="David" w:hAnsi="David" w:cs="David" w:hint="cs"/>
          <w:b/>
          <w:bCs/>
          <w:rtl/>
        </w:rPr>
        <w:t>"א"</w:t>
      </w:r>
      <w:r w:rsidR="00BB0C5A">
        <w:rPr>
          <w:rFonts w:ascii="David" w:hAnsi="David" w:cs="David" w:hint="cs"/>
          <w:b/>
          <w:bCs/>
          <w:rtl/>
        </w:rPr>
        <w:t xml:space="preserve"> </w:t>
      </w:r>
      <w:proofErr w:type="spellStart"/>
      <w:r w:rsidR="00BB0C5A">
        <w:rPr>
          <w:rFonts w:ascii="David" w:hAnsi="David" w:cs="David" w:hint="cs"/>
          <w:b/>
          <w:bCs/>
          <w:rtl/>
        </w:rPr>
        <w:t>ו"ב</w:t>
      </w:r>
      <w:proofErr w:type="spellEnd"/>
      <w:r w:rsidR="00BB0C5A">
        <w:rPr>
          <w:rFonts w:ascii="David" w:hAnsi="David" w:cs="David" w:hint="cs"/>
          <w:b/>
          <w:bCs/>
          <w:rtl/>
        </w:rPr>
        <w:t>"</w:t>
      </w:r>
      <w:r w:rsidR="00E75BE2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הראשונ</w:t>
      </w:r>
      <w:r w:rsidR="00BB0C5A">
        <w:rPr>
          <w:rFonts w:ascii="David" w:hAnsi="David" w:cs="David" w:hint="cs"/>
          <w:rtl/>
        </w:rPr>
        <w:t>ות</w:t>
      </w:r>
      <w:r>
        <w:rPr>
          <w:rFonts w:ascii="David" w:hAnsi="David" w:cs="David" w:hint="cs"/>
          <w:rtl/>
        </w:rPr>
        <w:t xml:space="preserve">, </w:t>
      </w:r>
      <w:r w:rsidR="006D04F6">
        <w:rPr>
          <w:rFonts w:ascii="David" w:hAnsi="David" w:cs="David" w:hint="cs"/>
          <w:rtl/>
        </w:rPr>
        <w:t xml:space="preserve">אכן, </w:t>
      </w:r>
      <w:r>
        <w:rPr>
          <w:rFonts w:ascii="David" w:hAnsi="David" w:cs="David" w:hint="cs"/>
          <w:rtl/>
        </w:rPr>
        <w:t xml:space="preserve">המערער התכוון לפסלות מתוקף ניגוד עניינים אתי כפי שמתואר במאמרה של  ד"ר לימור זר-גוטמן, </w:t>
      </w:r>
      <w:r w:rsidRPr="00C65736">
        <w:rPr>
          <w:rFonts w:ascii="David" w:hAnsi="David" w:cs="David" w:hint="cs"/>
          <w:b/>
          <w:bCs/>
          <w:rtl/>
        </w:rPr>
        <w:t>"ניגוד עניינים אצל שופטים: בין דיני פסלות שופט לאתיקה"</w:t>
      </w:r>
      <w:r w:rsidRPr="00F00DC7">
        <w:rPr>
          <w:rFonts w:ascii="David" w:hAnsi="David" w:cs="David" w:hint="cs"/>
          <w:rtl/>
        </w:rPr>
        <w:t xml:space="preserve"> (</w:t>
      </w:r>
      <w:r w:rsidRPr="00F00DC7">
        <w:rPr>
          <w:rFonts w:ascii="David" w:hAnsi="David" w:cs="David" w:hint="cs"/>
          <w:b/>
          <w:bCs/>
          <w:rtl/>
        </w:rPr>
        <w:t>ניגוד עניינים במרחב הציבורי: משפט, תרבות, אתיקה ופוליטיקה</w:t>
      </w:r>
      <w:r>
        <w:rPr>
          <w:rFonts w:ascii="David" w:hAnsi="David" w:cs="David" w:hint="cs"/>
          <w:rtl/>
        </w:rPr>
        <w:t xml:space="preserve"> 429 (דפנה ברק ארז, דורון נבות ומרדכי </w:t>
      </w:r>
      <w:proofErr w:type="spellStart"/>
      <w:r>
        <w:rPr>
          <w:rFonts w:ascii="David" w:hAnsi="David" w:cs="David" w:hint="cs"/>
          <w:rtl/>
        </w:rPr>
        <w:t>קרמניצר</w:t>
      </w:r>
      <w:proofErr w:type="spellEnd"/>
      <w:r>
        <w:rPr>
          <w:rFonts w:ascii="David" w:hAnsi="David" w:cs="David" w:hint="cs"/>
          <w:rtl/>
        </w:rPr>
        <w:t xml:space="preserve"> עורכים, ה</w:t>
      </w:r>
      <w:r w:rsidR="000C5169">
        <w:rPr>
          <w:rFonts w:ascii="David" w:hAnsi="David" w:cs="David" w:hint="cs"/>
          <w:rtl/>
        </w:rPr>
        <w:t xml:space="preserve">מכון הישראלי לדמוקרטיה, 2009)) (להלן: </w:t>
      </w:r>
      <w:r w:rsidR="000C5169" w:rsidRPr="000C5169">
        <w:rPr>
          <w:rFonts w:ascii="David" w:hAnsi="David" w:cs="David" w:hint="cs"/>
          <w:b/>
          <w:bCs/>
          <w:rtl/>
        </w:rPr>
        <w:t>זר-גוטמן</w:t>
      </w:r>
      <w:r w:rsidR="000C5169">
        <w:rPr>
          <w:rFonts w:ascii="David" w:hAnsi="David" w:cs="David" w:hint="cs"/>
          <w:rtl/>
        </w:rPr>
        <w:t>).</w:t>
      </w:r>
    </w:p>
    <w:p w:rsidR="003347AB" w:rsidRDefault="003347AB" w:rsidP="00674FF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חשוב לציין שמאמרה של זר-גוטמן קיבל תוקף כמקור משפטי </w:t>
      </w:r>
      <w:r w:rsidRPr="002976B4">
        <w:rPr>
          <w:rFonts w:ascii="David" w:hAnsi="David" w:cs="David"/>
          <w:rtl/>
        </w:rPr>
        <w:t>–</w:t>
      </w:r>
      <w:r w:rsidRPr="002976B4">
        <w:rPr>
          <w:rFonts w:ascii="David" w:hAnsi="David" w:cs="David" w:hint="cs"/>
          <w:rtl/>
        </w:rPr>
        <w:t xml:space="preserve"> </w:t>
      </w:r>
      <w:r w:rsidRPr="002976B4">
        <w:rPr>
          <w:rFonts w:ascii="David" w:hAnsi="David" w:cs="David" w:hint="cs"/>
          <w:b/>
          <w:bCs/>
          <w:rtl/>
        </w:rPr>
        <w:t>"</w:t>
      </w:r>
      <w:r w:rsidRPr="002976B4">
        <w:rPr>
          <w:rFonts w:ascii="David" w:hAnsi="David" w:cs="David"/>
          <w:b/>
          <w:bCs/>
          <w:rtl/>
        </w:rPr>
        <w:t>בשורה של</w:t>
      </w:r>
      <w:r w:rsidRPr="002976B4">
        <w:rPr>
          <w:rFonts w:ascii="David" w:hAnsi="David" w:cs="David" w:hint="cs"/>
          <w:b/>
          <w:bCs/>
          <w:rtl/>
        </w:rPr>
        <w:t xml:space="preserve"> </w:t>
      </w:r>
      <w:r w:rsidRPr="002976B4">
        <w:rPr>
          <w:rFonts w:ascii="David" w:hAnsi="David" w:cs="David"/>
          <w:b/>
          <w:bCs/>
          <w:rtl/>
        </w:rPr>
        <w:t>החלטות קבעה הנציבות, כי יש מקום לקבל את ההבחנה שהציעה ד"ר לימור זר גוטמן בין ניגוד</w:t>
      </w:r>
      <w:r w:rsidRPr="002976B4">
        <w:rPr>
          <w:rFonts w:ascii="David" w:hAnsi="David" w:cs="David" w:hint="cs"/>
          <w:b/>
          <w:bCs/>
          <w:rtl/>
        </w:rPr>
        <w:t xml:space="preserve"> </w:t>
      </w:r>
      <w:r w:rsidRPr="002976B4">
        <w:rPr>
          <w:rFonts w:ascii="David" w:hAnsi="David" w:cs="David"/>
          <w:b/>
          <w:bCs/>
          <w:rtl/>
        </w:rPr>
        <w:t>עניינים משפטי, מכוח דיני פסלות השופט מלשבת בדין, לבין ניגוד עניינים אתי</w:t>
      </w:r>
      <w:r w:rsidRPr="002976B4">
        <w:rPr>
          <w:rFonts w:ascii="David" w:hAnsi="David" w:cs="David" w:hint="cs"/>
          <w:b/>
          <w:bCs/>
          <w:rtl/>
        </w:rPr>
        <w:t>"</w:t>
      </w:r>
      <w:r w:rsidR="00386D66">
        <w:rPr>
          <w:rFonts w:ascii="David" w:hAnsi="David" w:cs="David" w:hint="cs"/>
          <w:b/>
          <w:bCs/>
          <w:rtl/>
        </w:rPr>
        <w:t>,</w:t>
      </w:r>
      <w:r>
        <w:rPr>
          <w:rFonts w:ascii="David" w:hAnsi="David" w:cs="David"/>
          <w:rtl/>
        </w:rPr>
        <w:t xml:space="preserve"> </w:t>
      </w:r>
      <w:r w:rsidR="00674FF3">
        <w:rPr>
          <w:rFonts w:ascii="David" w:hAnsi="David" w:cs="David" w:hint="cs"/>
          <w:rtl/>
        </w:rPr>
        <w:t>נא ראי</w:t>
      </w:r>
      <w:r w:rsidR="004C7F98">
        <w:rPr>
          <w:rFonts w:ascii="David" w:hAnsi="David" w:cs="David" w:hint="cs"/>
          <w:rtl/>
        </w:rPr>
        <w:t xml:space="preserve"> </w:t>
      </w:r>
      <w:r w:rsidRPr="002976B4">
        <w:rPr>
          <w:rFonts w:ascii="David" w:hAnsi="David" w:cs="David" w:hint="cs"/>
          <w:rtl/>
        </w:rPr>
        <w:t>מענה מיום 17.6.15 של נציבות תלונות הציבור על שופטים לשאלת אחד מנשיאי בית המשפט</w:t>
      </w:r>
      <w:r>
        <w:rPr>
          <w:rFonts w:ascii="David" w:hAnsi="David" w:cs="David" w:hint="cs"/>
          <w:rtl/>
        </w:rPr>
        <w:t xml:space="preserve">, </w:t>
      </w:r>
      <w:proofErr w:type="spellStart"/>
      <w:r w:rsidR="004C7F98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רצ"ב</w:t>
      </w:r>
      <w:proofErr w:type="spellEnd"/>
      <w:r>
        <w:rPr>
          <w:rFonts w:ascii="David" w:hAnsi="David" w:cs="David" w:hint="cs"/>
          <w:rtl/>
        </w:rPr>
        <w:t xml:space="preserve"> </w:t>
      </w:r>
      <w:r w:rsidRPr="002976B4">
        <w:rPr>
          <w:rFonts w:ascii="David" w:hAnsi="David" w:cs="David" w:hint="cs"/>
          <w:b/>
          <w:bCs/>
          <w:u w:val="single"/>
          <w:rtl/>
        </w:rPr>
        <w:t>כנספח 1</w:t>
      </w:r>
      <w:r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</w:t>
      </w:r>
    </w:p>
    <w:p w:rsidR="00FF3167" w:rsidRDefault="00721AA6" w:rsidP="00FF31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 w:rsidRPr="00BB0C5A">
        <w:rPr>
          <w:rFonts w:ascii="David" w:hAnsi="David" w:cs="David" w:hint="cs"/>
          <w:rtl/>
        </w:rPr>
        <w:t xml:space="preserve">ע"פ זר-גוטמן, </w:t>
      </w:r>
      <w:r w:rsidRPr="00BB0C5A">
        <w:rPr>
          <w:rFonts w:ascii="David" w:hAnsi="David" w:cs="David" w:hint="cs"/>
          <w:rtl/>
        </w:rPr>
        <w:t xml:space="preserve">מבחן הפסלות המשפטי המשתקפת מסע' 77א </w:t>
      </w:r>
      <w:r w:rsidR="00FF3167">
        <w:rPr>
          <w:rFonts w:ascii="David" w:hAnsi="David" w:cs="David" w:hint="cs"/>
          <w:rtl/>
        </w:rPr>
        <w:t>לחוק הוא מבחן משוא הפנים ה</w:t>
      </w:r>
      <w:r w:rsidRPr="00BB0C5A">
        <w:rPr>
          <w:rFonts w:ascii="David" w:hAnsi="David" w:cs="David" w:hint="cs"/>
          <w:rtl/>
        </w:rPr>
        <w:t xml:space="preserve">משקף בעיקר נקודת מבט אישית-פרטנית לפיה לצדדים זכות למשפט הוגן ע"י שופט </w:t>
      </w:r>
      <w:proofErr w:type="spellStart"/>
      <w:r w:rsidRPr="00BB0C5A">
        <w:rPr>
          <w:rFonts w:ascii="David" w:hAnsi="David" w:cs="David" w:hint="cs"/>
          <w:rtl/>
        </w:rPr>
        <w:t>נייטרלי</w:t>
      </w:r>
      <w:proofErr w:type="spellEnd"/>
      <w:r w:rsidRPr="00BB0C5A">
        <w:rPr>
          <w:rFonts w:ascii="David" w:hAnsi="David" w:cs="David" w:hint="cs"/>
          <w:rtl/>
        </w:rPr>
        <w:t xml:space="preserve"> ללא משוא פנים, תחת אובייקטיביות שיפוטית, </w:t>
      </w:r>
      <w:r w:rsidRPr="00BB0C5A">
        <w:rPr>
          <w:rFonts w:ascii="David" w:hAnsi="David" w:cs="David" w:hint="cs"/>
          <w:rtl/>
        </w:rPr>
        <w:t>והוא בסמכות כב' הנשיאה</w:t>
      </w:r>
      <w:r w:rsidR="00FF3167">
        <w:rPr>
          <w:rFonts w:ascii="David" w:hAnsi="David" w:cs="David" w:hint="cs"/>
          <w:rtl/>
        </w:rPr>
        <w:t>.</w:t>
      </w:r>
    </w:p>
    <w:p w:rsidR="00BB0C5A" w:rsidRDefault="00FF3167" w:rsidP="00FF31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לעומת זאת, </w:t>
      </w:r>
      <w:r w:rsidR="00721AA6" w:rsidRPr="00BB0C5A">
        <w:rPr>
          <w:rFonts w:ascii="David" w:hAnsi="David" w:cs="David" w:hint="cs"/>
          <w:rtl/>
        </w:rPr>
        <w:t xml:space="preserve">המבחן האתי </w:t>
      </w:r>
      <w:r>
        <w:rPr>
          <w:rFonts w:ascii="David" w:hAnsi="David" w:cs="David" w:hint="cs"/>
          <w:rtl/>
        </w:rPr>
        <w:t xml:space="preserve">הוא מבחן </w:t>
      </w:r>
      <w:r w:rsidR="00721AA6" w:rsidRPr="00BB0C5A">
        <w:rPr>
          <w:rFonts w:ascii="David" w:hAnsi="David" w:cs="David" w:hint="cs"/>
          <w:rtl/>
        </w:rPr>
        <w:t xml:space="preserve">הפגיעה במראית פני הצדק </w:t>
      </w:r>
      <w:r>
        <w:rPr>
          <w:rFonts w:ascii="David" w:hAnsi="David" w:cs="David" w:hint="cs"/>
          <w:rtl/>
        </w:rPr>
        <w:t>ו</w:t>
      </w:r>
      <w:r w:rsidR="00721AA6" w:rsidRPr="00BB0C5A">
        <w:rPr>
          <w:rFonts w:ascii="David" w:hAnsi="David" w:cs="David" w:hint="cs"/>
          <w:rtl/>
        </w:rPr>
        <w:t xml:space="preserve">משקף </w:t>
      </w:r>
      <w:r w:rsidR="00721AA6" w:rsidRPr="00BB0C5A">
        <w:rPr>
          <w:rFonts w:ascii="David" w:hAnsi="David" w:cs="David" w:hint="cs"/>
          <w:b/>
          <w:bCs/>
          <w:u w:val="single"/>
          <w:rtl/>
        </w:rPr>
        <w:t>רק</w:t>
      </w:r>
      <w:r w:rsidR="00721AA6" w:rsidRPr="00BB0C5A">
        <w:rPr>
          <w:rFonts w:ascii="David" w:hAnsi="David" w:cs="David" w:hint="cs"/>
          <w:rtl/>
        </w:rPr>
        <w:t xml:space="preserve"> את נקודת המבט הקולקטיבית ומבטא בכך את אידאל ההתנהג</w:t>
      </w:r>
      <w:r w:rsidR="00721AA6" w:rsidRPr="00BB0C5A">
        <w:rPr>
          <w:rFonts w:ascii="David" w:hAnsi="David" w:cs="David" w:hint="cs"/>
          <w:rtl/>
        </w:rPr>
        <w:t>ות האתית של שופט שאליו יש לשאוף, ו</w:t>
      </w:r>
      <w:r>
        <w:rPr>
          <w:rFonts w:ascii="David" w:hAnsi="David" w:cs="David" w:hint="cs"/>
          <w:rtl/>
        </w:rPr>
        <w:t>ע"פ זר-גוטמן</w:t>
      </w:r>
      <w:r w:rsidRPr="00BB0C5A">
        <w:rPr>
          <w:rFonts w:ascii="David" w:hAnsi="David" w:cs="David" w:hint="cs"/>
          <w:rtl/>
        </w:rPr>
        <w:t xml:space="preserve"> </w:t>
      </w:r>
      <w:r w:rsidR="00721AA6" w:rsidRPr="00BB0C5A">
        <w:rPr>
          <w:rFonts w:ascii="David" w:hAnsi="David" w:cs="David" w:hint="cs"/>
          <w:rtl/>
        </w:rPr>
        <w:t>הוא א</w:t>
      </w:r>
      <w:r>
        <w:rPr>
          <w:rFonts w:ascii="David" w:hAnsi="David" w:cs="David" w:hint="cs"/>
          <w:rtl/>
        </w:rPr>
        <w:t xml:space="preserve">יננו בסמכות כב' הנשיאה אלא </w:t>
      </w:r>
      <w:r w:rsidRPr="00BB0C5A">
        <w:rPr>
          <w:rFonts w:ascii="David" w:hAnsi="David" w:cs="David" w:hint="cs"/>
          <w:rtl/>
        </w:rPr>
        <w:t>בסמכות הגורמים האחראים על</w:t>
      </w:r>
      <w:r>
        <w:rPr>
          <w:rFonts w:ascii="David" w:hAnsi="David" w:cs="David" w:hint="cs"/>
          <w:rtl/>
        </w:rPr>
        <w:t xml:space="preserve"> אתיקה.</w:t>
      </w:r>
    </w:p>
    <w:p w:rsidR="00721AA6" w:rsidRPr="00BB0C5A" w:rsidRDefault="00BB0C5A" w:rsidP="00FF31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למערער נודע על מאמרה של זר-גוטמן רק לאחר הגשת הערעורים, </w:t>
      </w:r>
      <w:r w:rsidR="005C188A">
        <w:rPr>
          <w:rFonts w:ascii="David" w:hAnsi="David" w:cs="David" w:hint="cs"/>
          <w:rtl/>
        </w:rPr>
        <w:t>ו</w:t>
      </w:r>
      <w:r w:rsidR="002E5B1A">
        <w:rPr>
          <w:rFonts w:ascii="David" w:hAnsi="David" w:cs="David" w:hint="cs"/>
          <w:rtl/>
        </w:rPr>
        <w:t xml:space="preserve">לכן </w:t>
      </w:r>
      <w:r w:rsidR="005C188A">
        <w:rPr>
          <w:rFonts w:ascii="David" w:hAnsi="David" w:cs="David" w:hint="cs"/>
          <w:rtl/>
        </w:rPr>
        <w:t xml:space="preserve">לא ידע להבחין בין מבחן משוא </w:t>
      </w:r>
      <w:r w:rsidR="00FF3167">
        <w:rPr>
          <w:rFonts w:ascii="David" w:hAnsi="David" w:cs="David" w:hint="cs"/>
          <w:rtl/>
        </w:rPr>
        <w:t xml:space="preserve">הפנים </w:t>
      </w:r>
      <w:proofErr w:type="spellStart"/>
      <w:r w:rsidR="005C188A">
        <w:rPr>
          <w:rFonts w:ascii="David" w:hAnsi="David" w:cs="David" w:hint="cs"/>
          <w:rtl/>
        </w:rPr>
        <w:t>שבסע</w:t>
      </w:r>
      <w:proofErr w:type="spellEnd"/>
      <w:r w:rsidR="005C188A">
        <w:rPr>
          <w:rFonts w:ascii="David" w:hAnsi="David" w:cs="David" w:hint="cs"/>
          <w:rtl/>
        </w:rPr>
        <w:t>' 77א לחוק בתי המשפט ו</w:t>
      </w:r>
      <w:r w:rsidR="002E5B1A">
        <w:rPr>
          <w:rFonts w:ascii="David" w:hAnsi="David" w:cs="David" w:hint="cs"/>
          <w:rtl/>
        </w:rPr>
        <w:t>ש</w:t>
      </w:r>
      <w:r w:rsidR="005C188A">
        <w:rPr>
          <w:rFonts w:ascii="David" w:hAnsi="David" w:cs="David" w:hint="cs"/>
          <w:rtl/>
        </w:rPr>
        <w:t xml:space="preserve">הוא בסמכות כב' הנשיאה ותוצאתו שהשופט לא יכול לדון באף מקרה של המערער, לבין מבחן הפסלות ע"פ </w:t>
      </w:r>
      <w:r w:rsidR="00FF3167">
        <w:rPr>
          <w:rFonts w:ascii="David" w:hAnsi="David" w:cs="David" w:hint="cs"/>
          <w:rtl/>
        </w:rPr>
        <w:t xml:space="preserve">מבחן </w:t>
      </w:r>
      <w:r w:rsidR="005C188A">
        <w:rPr>
          <w:rFonts w:ascii="David" w:hAnsi="David" w:cs="David" w:hint="cs"/>
          <w:rtl/>
        </w:rPr>
        <w:t xml:space="preserve">מראית פני הצדק, שבו אין מניעה </w:t>
      </w:r>
      <w:r w:rsidR="005C188A">
        <w:rPr>
          <w:rFonts w:ascii="David" w:hAnsi="David" w:cs="David" w:hint="cs"/>
          <w:rtl/>
        </w:rPr>
        <w:lastRenderedPageBreak/>
        <w:t>לשופט לדון בעניינים אחרים של המערער, וכי במקרה הנדון עליו להעביר את התיק למותב אחר, שזה הסעד שביקש המערער</w:t>
      </w:r>
      <w:r w:rsidR="00FF3167">
        <w:rPr>
          <w:rFonts w:ascii="David" w:hAnsi="David" w:cs="David" w:hint="cs"/>
          <w:rtl/>
        </w:rPr>
        <w:t xml:space="preserve"> בערעוריו.</w:t>
      </w:r>
    </w:p>
    <w:p w:rsidR="002E5B1A" w:rsidRDefault="00721AA6" w:rsidP="00BB0C5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לכן פסק הדין </w:t>
      </w:r>
      <w:r w:rsidR="0080299F">
        <w:rPr>
          <w:rFonts w:ascii="David" w:hAnsi="David" w:cs="David" w:hint="cs"/>
          <w:rtl/>
        </w:rPr>
        <w:t xml:space="preserve">מעלה </w:t>
      </w:r>
      <w:r>
        <w:rPr>
          <w:rFonts w:ascii="David" w:hAnsi="David" w:cs="David" w:hint="cs"/>
          <w:rtl/>
        </w:rPr>
        <w:t>שאלות הדורשות את הבהרת כב' הנשיאה</w:t>
      </w:r>
      <w:r w:rsidR="002E5B1A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</w:t>
      </w:r>
      <w:r w:rsidR="0080299F">
        <w:rPr>
          <w:rFonts w:ascii="David" w:hAnsi="David" w:cs="David" w:hint="cs"/>
          <w:rtl/>
        </w:rPr>
        <w:t xml:space="preserve">בהתאם </w:t>
      </w:r>
      <w:r>
        <w:rPr>
          <w:rFonts w:ascii="David" w:hAnsi="David" w:cs="David" w:hint="cs"/>
          <w:rtl/>
        </w:rPr>
        <w:t xml:space="preserve">את הנמקתה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האם המבחן האתי </w:t>
      </w:r>
      <w:r w:rsidR="0080299F">
        <w:rPr>
          <w:rFonts w:ascii="David" w:hAnsi="David" w:cs="David" w:hint="cs"/>
          <w:rtl/>
        </w:rPr>
        <w:t xml:space="preserve">של מראית פני הצדק </w:t>
      </w:r>
      <w:r>
        <w:rPr>
          <w:rFonts w:ascii="David" w:hAnsi="David" w:cs="David" w:hint="cs"/>
          <w:rtl/>
        </w:rPr>
        <w:t xml:space="preserve">הוא בסמכות כב' הנשיאה, והאם היא דנה בכלל בשאלה זאת? </w:t>
      </w:r>
    </w:p>
    <w:p w:rsidR="00721AA6" w:rsidRDefault="002E5B1A" w:rsidP="00FF31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השאלות עולות </w:t>
      </w:r>
      <w:r w:rsidR="00721AA6">
        <w:rPr>
          <w:rFonts w:ascii="David" w:hAnsi="David" w:cs="David" w:hint="cs"/>
          <w:rtl/>
        </w:rPr>
        <w:t xml:space="preserve">כי </w:t>
      </w:r>
      <w:r w:rsidR="00FF3167" w:rsidRPr="00FF3167">
        <w:rPr>
          <w:rFonts w:ascii="David" w:hAnsi="David" w:cs="David" w:hint="cs"/>
          <w:b/>
          <w:bCs/>
          <w:rtl/>
        </w:rPr>
        <w:t>(א)</w:t>
      </w:r>
      <w:r w:rsidR="00FF3167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יש סתירה פנימית בפסה"ד, </w:t>
      </w:r>
      <w:r w:rsidR="00FF3167" w:rsidRPr="00FF3167">
        <w:rPr>
          <w:rFonts w:ascii="David" w:hAnsi="David" w:cs="David" w:hint="cs"/>
          <w:b/>
          <w:bCs/>
          <w:rtl/>
        </w:rPr>
        <w:t>(ב)</w:t>
      </w:r>
      <w:r w:rsidR="00FF3167">
        <w:rPr>
          <w:rFonts w:ascii="David" w:hAnsi="David" w:cs="David" w:hint="cs"/>
          <w:rtl/>
        </w:rPr>
        <w:t xml:space="preserve"> </w:t>
      </w:r>
      <w:r w:rsidR="00721AA6">
        <w:rPr>
          <w:rFonts w:ascii="David" w:hAnsi="David" w:cs="David" w:hint="cs"/>
          <w:rtl/>
        </w:rPr>
        <w:t>אין כל דיון בשאלה זאת, ו</w:t>
      </w:r>
      <w:r>
        <w:rPr>
          <w:rFonts w:ascii="David" w:hAnsi="David" w:cs="David" w:hint="cs"/>
          <w:rtl/>
        </w:rPr>
        <w:t xml:space="preserve">גם </w:t>
      </w:r>
      <w:r w:rsidR="00721AA6">
        <w:rPr>
          <w:rFonts w:ascii="David" w:hAnsi="David" w:cs="David" w:hint="cs"/>
          <w:rtl/>
        </w:rPr>
        <w:t xml:space="preserve">אין כל הנמקה, אלא רק קביעה ללא כל נימוק, ובאופן מעורפל </w:t>
      </w:r>
      <w:r w:rsidR="0080299F">
        <w:rPr>
          <w:rFonts w:ascii="David" w:hAnsi="David" w:cs="David" w:hint="cs"/>
          <w:rtl/>
        </w:rPr>
        <w:t>מאוד</w:t>
      </w:r>
      <w:r w:rsidR="00721AA6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 xml:space="preserve">שלא ברור למה היא מתייחסת בהיותה כוללנית מאוד, </w:t>
      </w:r>
      <w:r w:rsidR="00721AA6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לכן </w:t>
      </w:r>
      <w:r w:rsidR="00721AA6">
        <w:rPr>
          <w:rFonts w:ascii="David" w:hAnsi="David" w:cs="David" w:hint="cs"/>
          <w:rtl/>
        </w:rPr>
        <w:t>לא ברור אם טענות המערער, ש</w:t>
      </w:r>
      <w:r>
        <w:rPr>
          <w:rFonts w:ascii="David" w:hAnsi="David" w:cs="David" w:hint="cs"/>
          <w:rtl/>
        </w:rPr>
        <w:t xml:space="preserve">כאמור </w:t>
      </w:r>
      <w:r w:rsidR="00BB0C5A">
        <w:rPr>
          <w:rFonts w:ascii="David" w:hAnsi="David" w:cs="David" w:hint="cs"/>
          <w:rtl/>
        </w:rPr>
        <w:t xml:space="preserve">הוצגו </w:t>
      </w:r>
      <w:r>
        <w:rPr>
          <w:rFonts w:ascii="David" w:hAnsi="David" w:cs="David" w:hint="cs"/>
          <w:rtl/>
        </w:rPr>
        <w:t xml:space="preserve">בפסה"ד </w:t>
      </w:r>
      <w:r w:rsidR="00721AA6">
        <w:rPr>
          <w:rFonts w:ascii="David" w:hAnsi="David" w:cs="David" w:hint="cs"/>
          <w:rtl/>
        </w:rPr>
        <w:t xml:space="preserve">באופן שונה לגמרי, נדונו בראי מבחן משוא הפנים בלבד, או </w:t>
      </w:r>
      <w:r>
        <w:rPr>
          <w:rFonts w:ascii="David" w:hAnsi="David" w:cs="David" w:hint="cs"/>
          <w:rtl/>
        </w:rPr>
        <w:t xml:space="preserve">גם במבחן מראית פני הצדק לעניין ניגוד העניינים האתי, שע"פ זר-גוטמן וע"פ </w:t>
      </w:r>
      <w:r w:rsidR="00FF3167">
        <w:rPr>
          <w:rFonts w:ascii="David" w:hAnsi="David" w:cs="David" w:hint="cs"/>
          <w:rtl/>
        </w:rPr>
        <w:t xml:space="preserve">סע' 77א לחוק בתי המשפט, </w:t>
      </w:r>
      <w:r>
        <w:rPr>
          <w:rFonts w:ascii="David" w:hAnsi="David" w:cs="David" w:hint="cs"/>
          <w:rtl/>
        </w:rPr>
        <w:t>כלל לא בסמכות הנשיאה.</w:t>
      </w:r>
    </w:p>
    <w:p w:rsidR="00721AA6" w:rsidRPr="003C5136" w:rsidRDefault="002E5B1A" w:rsidP="00FF31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 w:rsidRPr="003C5136">
        <w:rPr>
          <w:rFonts w:ascii="David" w:hAnsi="David" w:cs="David" w:hint="cs"/>
          <w:rtl/>
        </w:rPr>
        <w:t>ה</w:t>
      </w:r>
      <w:r w:rsidR="0080299F" w:rsidRPr="003C5136">
        <w:rPr>
          <w:rFonts w:ascii="David" w:hAnsi="David" w:cs="David" w:hint="cs"/>
          <w:rtl/>
        </w:rPr>
        <w:t xml:space="preserve">סתירה </w:t>
      </w:r>
      <w:r w:rsidRPr="003C5136">
        <w:rPr>
          <w:rFonts w:ascii="David" w:hAnsi="David" w:cs="David" w:hint="cs"/>
          <w:rtl/>
        </w:rPr>
        <w:t>ה</w:t>
      </w:r>
      <w:r w:rsidR="0080299F" w:rsidRPr="003C5136">
        <w:rPr>
          <w:rFonts w:ascii="David" w:hAnsi="David" w:cs="David" w:hint="cs"/>
          <w:rtl/>
        </w:rPr>
        <w:t xml:space="preserve">פנימית בפסה"ד </w:t>
      </w:r>
      <w:r w:rsidRPr="003C5136">
        <w:rPr>
          <w:rFonts w:ascii="David" w:hAnsi="David" w:cs="David" w:hint="cs"/>
          <w:rtl/>
        </w:rPr>
        <w:t xml:space="preserve">היא בסעיף 7 לפסה"ד. בסיפא </w:t>
      </w:r>
      <w:r w:rsidR="00FF3167" w:rsidRPr="003C5136">
        <w:rPr>
          <w:rFonts w:ascii="David" w:hAnsi="David" w:cs="David" w:hint="cs"/>
          <w:rtl/>
        </w:rPr>
        <w:t>ש</w:t>
      </w:r>
      <w:r w:rsidRPr="003C5136">
        <w:rPr>
          <w:rFonts w:ascii="David" w:hAnsi="David" w:cs="David" w:hint="cs"/>
          <w:rtl/>
        </w:rPr>
        <w:t>ל</w:t>
      </w:r>
      <w:r w:rsidR="00FF3167" w:rsidRPr="003C5136">
        <w:rPr>
          <w:rFonts w:ascii="David" w:hAnsi="David" w:cs="David" w:hint="cs"/>
          <w:rtl/>
        </w:rPr>
        <w:t xml:space="preserve"> </w:t>
      </w:r>
      <w:r w:rsidRPr="003C5136">
        <w:rPr>
          <w:rFonts w:ascii="David" w:hAnsi="David" w:cs="David" w:hint="cs"/>
          <w:rtl/>
        </w:rPr>
        <w:t xml:space="preserve">סע' 7 </w:t>
      </w:r>
      <w:r w:rsidR="0080299F" w:rsidRPr="003C5136">
        <w:rPr>
          <w:rFonts w:ascii="David" w:hAnsi="David" w:cs="David" w:hint="cs"/>
          <w:rtl/>
        </w:rPr>
        <w:t>טוענת כב' הנשיאה שאין מקום לדון בסוגיית שכר</w:t>
      </w:r>
      <w:r w:rsidR="00BB0C5A" w:rsidRPr="003C5136">
        <w:rPr>
          <w:rFonts w:ascii="David" w:hAnsi="David" w:cs="David" w:hint="cs"/>
          <w:rtl/>
        </w:rPr>
        <w:t>ם</w:t>
      </w:r>
      <w:r w:rsidR="0080299F" w:rsidRPr="003C5136">
        <w:rPr>
          <w:rFonts w:ascii="David" w:hAnsi="David" w:cs="David" w:hint="cs"/>
          <w:rtl/>
        </w:rPr>
        <w:t xml:space="preserve"> ופועלם של שופטים עמיתים במסגרת ערעור פסלות ע"פ סע' 77א לחוק בתי המשפט, וזאת גם ע"פ זר-גוטמן</w:t>
      </w:r>
      <w:r w:rsidR="00FF3167" w:rsidRPr="003C5136">
        <w:rPr>
          <w:rFonts w:ascii="David" w:hAnsi="David" w:cs="David" w:hint="cs"/>
          <w:rtl/>
        </w:rPr>
        <w:t>.</w:t>
      </w:r>
      <w:r w:rsidR="003C5136" w:rsidRPr="003C5136">
        <w:rPr>
          <w:rFonts w:ascii="David" w:hAnsi="David" w:cs="David" w:hint="cs"/>
          <w:rtl/>
        </w:rPr>
        <w:t xml:space="preserve"> </w:t>
      </w:r>
      <w:r w:rsidR="0080299F" w:rsidRPr="003C5136">
        <w:rPr>
          <w:rFonts w:ascii="David" w:hAnsi="David" w:cs="David" w:hint="cs"/>
          <w:rtl/>
        </w:rPr>
        <w:t xml:space="preserve">ואולם </w:t>
      </w:r>
      <w:proofErr w:type="spellStart"/>
      <w:r w:rsidR="0080299F" w:rsidRPr="003C5136">
        <w:rPr>
          <w:rFonts w:ascii="David" w:hAnsi="David" w:cs="David" w:hint="cs"/>
          <w:rtl/>
        </w:rPr>
        <w:t>בסע</w:t>
      </w:r>
      <w:proofErr w:type="spellEnd"/>
      <w:r w:rsidR="0080299F" w:rsidRPr="003C5136">
        <w:rPr>
          <w:rFonts w:ascii="David" w:hAnsi="David" w:cs="David" w:hint="cs"/>
          <w:rtl/>
        </w:rPr>
        <w:t>' 7 רישא לפסה"ד, מתייחסת כב' הנשיאה בכלליות רבה מאוד לטענות המערער שפרטה קודם בתמצות רב מאוד, מבלי להבחין בין טענות</w:t>
      </w:r>
      <w:r w:rsidR="00BB0C5A" w:rsidRPr="003C5136">
        <w:rPr>
          <w:rFonts w:ascii="David" w:hAnsi="David" w:cs="David" w:hint="cs"/>
          <w:rtl/>
        </w:rPr>
        <w:t xml:space="preserve">יו </w:t>
      </w:r>
      <w:r w:rsidR="0080299F" w:rsidRPr="003C5136">
        <w:rPr>
          <w:rFonts w:ascii="David" w:hAnsi="David" w:cs="David" w:hint="cs"/>
          <w:rtl/>
        </w:rPr>
        <w:t>השונות, כך שלא ניתן לדעת לאיזה טענה מתייחסת האמירה בדבר אי הפגיעה במראית פני הצדק, קל וחומר כשלא נעשה כל דיון ואין כל ה</w:t>
      </w:r>
      <w:r w:rsidR="00BB0C5A" w:rsidRPr="003C5136">
        <w:rPr>
          <w:rFonts w:ascii="David" w:hAnsi="David" w:cs="David" w:hint="cs"/>
          <w:rtl/>
        </w:rPr>
        <w:t>נמקה לעניין ניגוד העניינים האתי, שכאמור לעיל, לגביה יש התייחסות ספציפית רק בסוף סע' 7 לפסה"ד.</w:t>
      </w:r>
      <w:r w:rsidRPr="003C5136">
        <w:rPr>
          <w:rFonts w:ascii="David" w:hAnsi="David" w:cs="David" w:hint="cs"/>
          <w:rtl/>
        </w:rPr>
        <w:t xml:space="preserve"> וכידוע, וע"פ דין, התייחסות ספציפית גוברת על התייחסות כללית.</w:t>
      </w:r>
    </w:p>
    <w:p w:rsidR="002E5B1A" w:rsidRDefault="002E5B1A" w:rsidP="00AD1BF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 w:hint="cs"/>
        </w:rPr>
      </w:pPr>
      <w:r w:rsidRPr="002E5B1A">
        <w:rPr>
          <w:rFonts w:ascii="David" w:hAnsi="David" w:cs="David" w:hint="cs"/>
          <w:rtl/>
        </w:rPr>
        <w:t xml:space="preserve">אם כב' הנשיאה התייחסה למבחן </w:t>
      </w:r>
      <w:r>
        <w:rPr>
          <w:rFonts w:ascii="David" w:hAnsi="David" w:cs="David" w:hint="cs"/>
          <w:rtl/>
        </w:rPr>
        <w:t xml:space="preserve">מראית פני הצדק, אזי, יש אין כל הנמקה אלא רק קביעה ללא כל נימוק וללא כל התייחסות פרטנית, וכפי שנימק המערער </w:t>
      </w:r>
      <w:r w:rsidR="00AD1BF5">
        <w:rPr>
          <w:rFonts w:ascii="David" w:hAnsi="David" w:cs="David" w:hint="cs"/>
          <w:rtl/>
        </w:rPr>
        <w:t xml:space="preserve">בשני ערעורי הפסלות, למשל </w:t>
      </w:r>
      <w:proofErr w:type="spellStart"/>
      <w:r>
        <w:rPr>
          <w:rFonts w:ascii="David" w:hAnsi="David" w:cs="David" w:hint="cs"/>
          <w:rtl/>
        </w:rPr>
        <w:t>בסע</w:t>
      </w:r>
      <w:proofErr w:type="spellEnd"/>
      <w:r>
        <w:rPr>
          <w:rFonts w:ascii="David" w:hAnsi="David" w:cs="David" w:hint="cs"/>
          <w:rtl/>
        </w:rPr>
        <w:t xml:space="preserve">' </w:t>
      </w:r>
      <w:r w:rsidR="00AD1BF5">
        <w:rPr>
          <w:rFonts w:ascii="David" w:hAnsi="David" w:cs="David" w:hint="cs"/>
          <w:rtl/>
        </w:rPr>
        <w:t xml:space="preserve">121 לע"א 6579/20, לפיו </w:t>
      </w:r>
      <w:r w:rsidR="00AD1BF5" w:rsidRPr="00E60D45">
        <w:rPr>
          <w:rFonts w:ascii="David" w:hAnsi="David" w:cs="David" w:hint="cs"/>
          <w:rtl/>
        </w:rPr>
        <w:t xml:space="preserve">קביעה כמו </w:t>
      </w:r>
      <w:r w:rsidR="00AD1BF5" w:rsidRPr="00E60D45">
        <w:rPr>
          <w:rFonts w:ascii="David" w:hAnsi="David" w:cs="David" w:hint="cs"/>
          <w:b/>
          <w:bCs/>
          <w:rtl/>
        </w:rPr>
        <w:t>"פלוני נהג שלא כדין"</w:t>
      </w:r>
      <w:r w:rsidR="00AD1BF5" w:rsidRPr="00E60D45">
        <w:rPr>
          <w:rFonts w:ascii="David" w:hAnsi="David" w:cs="David" w:hint="cs"/>
          <w:rtl/>
        </w:rPr>
        <w:t xml:space="preserve"> איננו נימוק כמחויב ע"פ דין (</w:t>
      </w:r>
      <w:r w:rsidR="00AD1BF5" w:rsidRPr="00E60D45">
        <w:rPr>
          <w:rFonts w:ascii="David" w:hAnsi="David" w:cs="David"/>
          <w:color w:val="000000"/>
          <w:rtl/>
        </w:rPr>
        <w:t>ע"א (</w:t>
      </w:r>
      <w:proofErr w:type="spellStart"/>
      <w:r w:rsidR="00AD1BF5" w:rsidRPr="00E60D45">
        <w:rPr>
          <w:rFonts w:ascii="David" w:hAnsi="David" w:cs="David"/>
          <w:color w:val="000000"/>
          <w:rtl/>
        </w:rPr>
        <w:t>נצ</w:t>
      </w:r>
      <w:proofErr w:type="spellEnd"/>
      <w:r w:rsidR="00AD1BF5" w:rsidRPr="00E60D45">
        <w:rPr>
          <w:rFonts w:ascii="David" w:hAnsi="David" w:cs="David"/>
          <w:color w:val="000000"/>
          <w:rtl/>
        </w:rPr>
        <w:t xml:space="preserve">') </w:t>
      </w:r>
      <w:r w:rsidR="00AD1BF5" w:rsidRPr="00E60D45">
        <w:rPr>
          <w:rFonts w:ascii="David" w:hAnsi="David" w:cs="David"/>
          <w:color w:val="000000"/>
        </w:rPr>
        <w:t>27</w:t>
      </w:r>
      <w:r w:rsidR="00AD1BF5" w:rsidRPr="00E60D45">
        <w:rPr>
          <w:rFonts w:ascii="David" w:hAnsi="David" w:cs="David"/>
          <w:color w:val="000000"/>
          <w:rtl/>
        </w:rPr>
        <w:t>/</w:t>
      </w:r>
      <w:r w:rsidR="00AD1BF5" w:rsidRPr="00E60D45">
        <w:rPr>
          <w:rFonts w:ascii="David" w:hAnsi="David" w:cs="David"/>
          <w:color w:val="000000"/>
        </w:rPr>
        <w:t>08</w:t>
      </w:r>
      <w:r w:rsidR="00AD1BF5" w:rsidRPr="00E60D45">
        <w:rPr>
          <w:rFonts w:ascii="David" w:hAnsi="David" w:cs="David"/>
          <w:color w:val="000000"/>
          <w:rtl/>
        </w:rPr>
        <w:t xml:space="preserve"> </w:t>
      </w:r>
      <w:r w:rsidR="00AD1BF5" w:rsidRPr="00E60D45">
        <w:rPr>
          <w:rFonts w:ascii="David" w:hAnsi="David" w:cs="David"/>
          <w:b/>
          <w:bCs/>
          <w:color w:val="000000"/>
          <w:rtl/>
        </w:rPr>
        <w:t>גדעון ר</w:t>
      </w:r>
      <w:r w:rsidR="00AD1BF5" w:rsidRPr="00E60D45">
        <w:rPr>
          <w:rFonts w:ascii="David" w:hAnsi="David" w:cs="David" w:hint="cs"/>
          <w:b/>
          <w:bCs/>
          <w:color w:val="000000"/>
          <w:rtl/>
        </w:rPr>
        <w:t>ו</w:t>
      </w:r>
      <w:r w:rsidR="00AD1BF5" w:rsidRPr="00E60D45">
        <w:rPr>
          <w:rFonts w:ascii="David" w:hAnsi="David" w:cs="David"/>
          <w:b/>
          <w:bCs/>
          <w:color w:val="000000"/>
          <w:rtl/>
        </w:rPr>
        <w:t>וה נ' בנק הפועלים,</w:t>
      </w:r>
      <w:r w:rsidR="00AD1BF5" w:rsidRPr="00E60D45">
        <w:rPr>
          <w:rFonts w:ascii="David" w:hAnsi="David" w:cs="David"/>
          <w:color w:val="000000"/>
          <w:rtl/>
        </w:rPr>
        <w:t xml:space="preserve"> עמ' </w:t>
      </w:r>
      <w:r w:rsidR="00AD1BF5" w:rsidRPr="00E60D45">
        <w:rPr>
          <w:rFonts w:ascii="David" w:hAnsi="David" w:cs="David"/>
          <w:color w:val="000000"/>
        </w:rPr>
        <w:t>10</w:t>
      </w:r>
      <w:r w:rsidR="00AD1BF5" w:rsidRPr="00E60D45">
        <w:rPr>
          <w:rFonts w:ascii="David" w:hAnsi="David" w:cs="David" w:hint="cs"/>
          <w:color w:val="000000"/>
          <w:rtl/>
        </w:rPr>
        <w:t xml:space="preserve">, להלן ולעיל: </w:t>
      </w:r>
      <w:r w:rsidR="00AD1BF5" w:rsidRPr="00E60D45">
        <w:rPr>
          <w:rFonts w:ascii="David" w:hAnsi="David" w:cs="David" w:hint="cs"/>
          <w:b/>
          <w:bCs/>
          <w:color w:val="000000"/>
          <w:rtl/>
        </w:rPr>
        <w:t>פס"ד גדעון רווה</w:t>
      </w:r>
      <w:r w:rsidR="00AD1BF5" w:rsidRPr="00E60D45">
        <w:rPr>
          <w:rFonts w:ascii="David" w:hAnsi="David" w:cs="David"/>
          <w:b/>
          <w:bCs/>
          <w:color w:val="000000"/>
          <w:rtl/>
        </w:rPr>
        <w:t>)</w:t>
      </w:r>
      <w:r w:rsidR="00AD1BF5">
        <w:rPr>
          <w:rFonts w:ascii="David" w:hAnsi="David" w:cs="David" w:hint="cs"/>
          <w:rtl/>
        </w:rPr>
        <w:t>.</w:t>
      </w:r>
    </w:p>
    <w:p w:rsidR="00AD1BF5" w:rsidRDefault="00AD1BF5" w:rsidP="0095003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 xml:space="preserve">כמו כן, ברור שפסה"ד לא עומד במבחן ההנמקה שנקבע בדין, למשל, </w:t>
      </w:r>
      <w:r w:rsidR="00950033">
        <w:rPr>
          <w:rFonts w:ascii="David" w:hAnsi="David" w:cs="David" w:hint="cs"/>
          <w:rtl/>
        </w:rPr>
        <w:t xml:space="preserve">ע"פ סע' 11 לפסה"ד של </w:t>
      </w:r>
      <w:r>
        <w:rPr>
          <w:rFonts w:ascii="David" w:hAnsi="David" w:cs="David" w:hint="cs"/>
          <w:rtl/>
        </w:rPr>
        <w:t xml:space="preserve">כב' הנשיאה </w:t>
      </w:r>
      <w:proofErr w:type="spellStart"/>
      <w:r>
        <w:rPr>
          <w:rFonts w:ascii="David" w:hAnsi="David" w:cs="David" w:hint="cs"/>
          <w:rtl/>
        </w:rPr>
        <w:t>ברע"א</w:t>
      </w:r>
      <w:proofErr w:type="spellEnd"/>
      <w:r>
        <w:rPr>
          <w:rFonts w:ascii="David" w:hAnsi="David" w:cs="David" w:hint="cs"/>
          <w:rtl/>
        </w:rPr>
        <w:t xml:space="preserve"> </w:t>
      </w:r>
      <w:r w:rsidRPr="00052E2B">
        <w:rPr>
          <w:rFonts w:ascii="David" w:hAnsi="David" w:cs="David"/>
          <w:rtl/>
        </w:rPr>
        <w:t xml:space="preserve">290/15 </w:t>
      </w:r>
      <w:r w:rsidRPr="00052E2B">
        <w:rPr>
          <w:rFonts w:ascii="David" w:hAnsi="David" w:cs="David"/>
          <w:b/>
          <w:bCs/>
          <w:rtl/>
        </w:rPr>
        <w:t>ברנד פור יו בע"מ נ' רמי לוי</w:t>
      </w:r>
      <w:r w:rsidRPr="002A639E">
        <w:rPr>
          <w:rFonts w:ascii="David" w:hAnsi="David" w:cs="David" w:hint="cs"/>
          <w:rtl/>
        </w:rPr>
        <w:t xml:space="preserve"> (</w:t>
      </w:r>
      <w:r>
        <w:rPr>
          <w:rFonts w:ascii="David" w:hAnsi="David" w:cs="David" w:hint="cs"/>
          <w:rtl/>
        </w:rPr>
        <w:t xml:space="preserve">להלן: </w:t>
      </w:r>
      <w:r w:rsidRPr="002A639E">
        <w:rPr>
          <w:rFonts w:ascii="David" w:hAnsi="David" w:cs="David" w:hint="cs"/>
          <w:b/>
          <w:bCs/>
          <w:rtl/>
        </w:rPr>
        <w:t>פס"ד ברנד פור יו</w:t>
      </w:r>
      <w:r w:rsidRPr="002A639E">
        <w:rPr>
          <w:rFonts w:ascii="David" w:hAnsi="David" w:cs="David" w:hint="cs"/>
          <w:rtl/>
        </w:rPr>
        <w:t>)</w:t>
      </w:r>
      <w:r w:rsidR="00950033">
        <w:rPr>
          <w:rFonts w:ascii="David" w:hAnsi="David" w:cs="David" w:hint="cs"/>
          <w:rtl/>
        </w:rPr>
        <w:t xml:space="preserve"> או </w:t>
      </w:r>
      <w:proofErr w:type="spellStart"/>
      <w:r w:rsidR="00950033">
        <w:rPr>
          <w:rFonts w:ascii="David" w:hAnsi="David" w:cs="David" w:hint="cs"/>
          <w:rtl/>
        </w:rPr>
        <w:t>ב</w:t>
      </w:r>
      <w:r w:rsidR="00950033" w:rsidRPr="00052E2B">
        <w:rPr>
          <w:rFonts w:ascii="David" w:hAnsi="David" w:cs="David"/>
          <w:rtl/>
        </w:rPr>
        <w:t>רע"א</w:t>
      </w:r>
      <w:proofErr w:type="spellEnd"/>
      <w:r w:rsidR="00950033" w:rsidRPr="00052E2B">
        <w:rPr>
          <w:rFonts w:ascii="David" w:hAnsi="David" w:cs="David"/>
          <w:rtl/>
        </w:rPr>
        <w:t xml:space="preserve"> 3337/12 </w:t>
      </w:r>
      <w:r w:rsidR="00950033" w:rsidRPr="00052E2B">
        <w:rPr>
          <w:rFonts w:ascii="David" w:hAnsi="David" w:cs="David"/>
          <w:bCs/>
          <w:rtl/>
        </w:rPr>
        <w:t xml:space="preserve">ליברפול נכסים נ' עידן </w:t>
      </w:r>
      <w:proofErr w:type="spellStart"/>
      <w:r w:rsidR="00950033" w:rsidRPr="00052E2B">
        <w:rPr>
          <w:rFonts w:ascii="David" w:hAnsi="David" w:cs="David"/>
          <w:bCs/>
          <w:rtl/>
        </w:rPr>
        <w:t>פרוביזור</w:t>
      </w:r>
      <w:proofErr w:type="spellEnd"/>
      <w:r w:rsidR="00F11B63">
        <w:rPr>
          <w:rFonts w:ascii="David" w:hAnsi="David" w:cs="David" w:hint="cs"/>
          <w:rtl/>
        </w:rPr>
        <w:t>, והדבר מחזק את השאלה לפיה כב' הנשיאה לא התייחסה כלל למבחן זה ביחס לשאלות ניגוד העניינים ה</w:t>
      </w:r>
      <w:r w:rsidR="00950033">
        <w:rPr>
          <w:rFonts w:ascii="David" w:hAnsi="David" w:cs="David" w:hint="cs"/>
          <w:rtl/>
        </w:rPr>
        <w:t>אתי.</w:t>
      </w:r>
    </w:p>
    <w:p w:rsidR="002D4890" w:rsidRDefault="00950033" w:rsidP="002D489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חיזוק נוסף לעניין שפסה"ד לא מתייחס ולא דן כלל במבחן מראית פני הצדק </w:t>
      </w:r>
      <w:r w:rsidR="00FF3167">
        <w:rPr>
          <w:rFonts w:ascii="David" w:hAnsi="David" w:cs="David" w:hint="cs"/>
          <w:rtl/>
        </w:rPr>
        <w:t xml:space="preserve">האתי </w:t>
      </w:r>
      <w:r>
        <w:rPr>
          <w:rFonts w:ascii="David" w:hAnsi="David" w:cs="David" w:hint="cs"/>
          <w:rtl/>
        </w:rPr>
        <w:t xml:space="preserve">עולה מכך </w:t>
      </w:r>
      <w:proofErr w:type="spellStart"/>
      <w:r>
        <w:rPr>
          <w:rFonts w:ascii="David" w:hAnsi="David" w:cs="David" w:hint="cs"/>
          <w:rtl/>
        </w:rPr>
        <w:t>שמפסה"ד</w:t>
      </w:r>
      <w:proofErr w:type="spellEnd"/>
      <w:r>
        <w:rPr>
          <w:rFonts w:ascii="David" w:hAnsi="David" w:cs="David" w:hint="cs"/>
          <w:rtl/>
        </w:rPr>
        <w:t xml:space="preserve"> הושמטו כל העובדות וכל הטענות המהותיות ביותר שיש בהן לראות פגיעה </w:t>
      </w:r>
      <w:r w:rsidR="00227C3B">
        <w:rPr>
          <w:rFonts w:ascii="David" w:hAnsi="David" w:cs="David" w:hint="cs"/>
          <w:rtl/>
        </w:rPr>
        <w:t xml:space="preserve">ברורה </w:t>
      </w:r>
      <w:r>
        <w:rPr>
          <w:rFonts w:ascii="David" w:hAnsi="David" w:cs="David" w:hint="cs"/>
          <w:rtl/>
        </w:rPr>
        <w:t>במראית פני הצדק</w:t>
      </w:r>
      <w:r w:rsidR="002D4890">
        <w:rPr>
          <w:rFonts w:ascii="David" w:hAnsi="David" w:cs="David" w:hint="cs"/>
          <w:rtl/>
        </w:rPr>
        <w:t>.</w:t>
      </w:r>
    </w:p>
    <w:p w:rsidR="00227C3B" w:rsidRDefault="002D4890" w:rsidP="00552F5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 xml:space="preserve">למשל, </w:t>
      </w:r>
      <w:r w:rsidR="00950033">
        <w:rPr>
          <w:rFonts w:ascii="David" w:hAnsi="David" w:cs="David" w:hint="cs"/>
          <w:rtl/>
        </w:rPr>
        <w:t>ששכרה הכולל של השופטת עמיתה דותן לכל ערעור הוא כ-16</w:t>
      </w:r>
      <w:r w:rsidR="00FF3167">
        <w:rPr>
          <w:rFonts w:ascii="David" w:hAnsi="David" w:cs="David" w:hint="cs"/>
          <w:rtl/>
        </w:rPr>
        <w:t>5</w:t>
      </w:r>
      <w:r w:rsidR="00950033">
        <w:rPr>
          <w:rFonts w:ascii="David" w:hAnsi="David" w:cs="David" w:hint="cs"/>
          <w:rtl/>
        </w:rPr>
        <w:t xml:space="preserve"> ₪ בלבד</w:t>
      </w:r>
      <w:r w:rsidR="00227C3B">
        <w:rPr>
          <w:rFonts w:ascii="David" w:hAnsi="David" w:cs="David" w:hint="cs"/>
          <w:rtl/>
        </w:rPr>
        <w:t xml:space="preserve"> למרות שכדי ששופט יעשה עבודתו נאמנה בערעורי המבקש וייתן פס"ד ראוי וכדין נדרשות עשרות שעות, </w:t>
      </w:r>
      <w:proofErr w:type="spellStart"/>
      <w:r w:rsidR="00227C3B">
        <w:rPr>
          <w:rFonts w:ascii="David" w:hAnsi="David" w:cs="David" w:hint="cs"/>
          <w:rtl/>
        </w:rPr>
        <w:t>כשרק</w:t>
      </w:r>
      <w:proofErr w:type="spellEnd"/>
      <w:r w:rsidR="00227C3B">
        <w:rPr>
          <w:rFonts w:ascii="David" w:hAnsi="David" w:cs="David" w:hint="cs"/>
          <w:rtl/>
        </w:rPr>
        <w:t xml:space="preserve"> על הבקשה לקבלת ראיות נוספות בערעור שהגיש המערער בע"א 48661-03-19 נדרשות </w:t>
      </w:r>
      <w:r>
        <w:rPr>
          <w:rFonts w:ascii="David" w:hAnsi="David" w:cs="David" w:hint="cs"/>
          <w:rtl/>
        </w:rPr>
        <w:t xml:space="preserve">כ-40-50 שעות ע"פ </w:t>
      </w:r>
      <w:r w:rsidR="00227C3B">
        <w:rPr>
          <w:rFonts w:ascii="David" w:hAnsi="David" w:cs="David" w:hint="cs"/>
          <w:rtl/>
        </w:rPr>
        <w:t xml:space="preserve">דברי </w:t>
      </w:r>
      <w:r>
        <w:rPr>
          <w:rFonts w:ascii="David" w:hAnsi="David" w:cs="David" w:hint="cs"/>
          <w:rtl/>
        </w:rPr>
        <w:t xml:space="preserve">עו"ד אריה לוי, </w:t>
      </w:r>
      <w:r w:rsidR="00227C3B">
        <w:rPr>
          <w:rFonts w:ascii="David" w:hAnsi="David" w:cs="David" w:hint="cs"/>
          <w:rtl/>
        </w:rPr>
        <w:t xml:space="preserve">ב"כ </w:t>
      </w:r>
      <w:r w:rsidR="00227C3B">
        <w:rPr>
          <w:rFonts w:ascii="David" w:hAnsi="David" w:cs="David" w:hint="cs"/>
          <w:rtl/>
        </w:rPr>
        <w:t xml:space="preserve">הנתבעים </w:t>
      </w:r>
      <w:r w:rsidR="00227C3B">
        <w:rPr>
          <w:rFonts w:ascii="David" w:hAnsi="David" w:cs="David" w:hint="cs"/>
          <w:rtl/>
        </w:rPr>
        <w:t>1-8</w:t>
      </w:r>
      <w:r>
        <w:rPr>
          <w:rFonts w:ascii="David" w:hAnsi="David" w:cs="David" w:hint="cs"/>
          <w:rtl/>
        </w:rPr>
        <w:t>, בדיון ביום 8.12.15 (פר' דיון 8.12.15 עמ' 16 ש' 3)</w:t>
      </w:r>
      <w:r w:rsidR="00227C3B">
        <w:rPr>
          <w:rFonts w:ascii="David" w:hAnsi="David" w:cs="David" w:hint="cs"/>
          <w:rtl/>
        </w:rPr>
        <w:t xml:space="preserve"> </w:t>
      </w:r>
      <w:r w:rsidR="00227C3B">
        <w:rPr>
          <w:rFonts w:ascii="David" w:hAnsi="David" w:cs="David" w:hint="cs"/>
          <w:rtl/>
        </w:rPr>
        <w:lastRenderedPageBreak/>
        <w:t xml:space="preserve">שהוא עו"ד בעל ניסיון של למעלה מ-42 שנה (וגם שופט צבאי), וכי השופטת עמיתה דותן אפילו לא התכוונה לתת החלטה בבקשה כי התכוונה לקיים את הדיון בערעור בלי </w:t>
      </w:r>
      <w:r>
        <w:rPr>
          <w:rFonts w:ascii="David" w:hAnsi="David" w:cs="David" w:hint="cs"/>
          <w:rtl/>
        </w:rPr>
        <w:t>לתת כלל החלטה בבקשה</w:t>
      </w:r>
      <w:r w:rsidR="00227C3B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עניין זה צוין </w:t>
      </w:r>
      <w:proofErr w:type="spellStart"/>
      <w:r>
        <w:rPr>
          <w:rFonts w:ascii="David" w:hAnsi="David" w:cs="David" w:hint="cs"/>
          <w:rtl/>
        </w:rPr>
        <w:t>בסע</w:t>
      </w:r>
      <w:proofErr w:type="spellEnd"/>
      <w:r>
        <w:rPr>
          <w:rFonts w:ascii="David" w:hAnsi="David" w:cs="David" w:hint="cs"/>
          <w:rtl/>
        </w:rPr>
        <w:t xml:space="preserve">' 79 לכתב הערעור ונתמך בתצהיר ונמצא בנט המשפט. יש לציין שתצהירו וראיותיו של המערער שהשופט קמא פסל ולא קיבל לתיק מוכיחות את כל עילות התביעה ואת כל </w:t>
      </w:r>
      <w:proofErr w:type="spellStart"/>
      <w:r>
        <w:rPr>
          <w:rFonts w:ascii="David" w:hAnsi="David" w:cs="David" w:hint="cs"/>
          <w:rtl/>
        </w:rPr>
        <w:t>הסעדים</w:t>
      </w:r>
      <w:proofErr w:type="spellEnd"/>
      <w:r>
        <w:rPr>
          <w:rFonts w:ascii="David" w:hAnsi="David" w:cs="David" w:hint="cs"/>
          <w:rtl/>
        </w:rPr>
        <w:t xml:space="preserve"> שנתבעו ברחל בתך הקטנה.</w:t>
      </w:r>
    </w:p>
    <w:p w:rsidR="00F11B63" w:rsidRDefault="002D4890" w:rsidP="004961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וחיזוק נוסף לכך שכב' הנשיאה לא התייחסה כלל למבחן מראית פני הצדק במובנה האתי היא השמטת הפרטים </w:t>
      </w:r>
      <w:r w:rsidR="0049610F">
        <w:rPr>
          <w:rFonts w:ascii="David" w:hAnsi="David" w:cs="David" w:hint="cs"/>
          <w:rtl/>
        </w:rPr>
        <w:t xml:space="preserve">הקטנים אבל המהותיים ביותר והם העיקר בהיותם מציגים את כל התמונה הנכונה </w:t>
      </w:r>
      <w:proofErr w:type="spellStart"/>
      <w:r w:rsidR="0049610F">
        <w:rPr>
          <w:rFonts w:ascii="David" w:hAnsi="David" w:cs="David" w:hint="cs"/>
          <w:rtl/>
        </w:rPr>
        <w:t>והאמיתית</w:t>
      </w:r>
      <w:proofErr w:type="spellEnd"/>
      <w:r w:rsidR="0049610F">
        <w:rPr>
          <w:rFonts w:ascii="David" w:hAnsi="David" w:cs="David" w:hint="cs"/>
          <w:rtl/>
        </w:rPr>
        <w:t xml:space="preserve"> ובהיותם סותרים את ההיגיון ואת השכל הישר, לפיהם השופטת עמיתה דותן </w:t>
      </w:r>
      <w:r w:rsidR="00950033">
        <w:rPr>
          <w:rFonts w:ascii="David" w:hAnsi="David" w:cs="David" w:hint="cs"/>
          <w:rtl/>
        </w:rPr>
        <w:t>הורתה ל</w:t>
      </w:r>
      <w:r w:rsidR="00950033">
        <w:rPr>
          <w:rFonts w:ascii="David" w:hAnsi="David" w:cs="David" w:hint="cs"/>
          <w:rtl/>
        </w:rPr>
        <w:t xml:space="preserve">מערער </w:t>
      </w:r>
      <w:r w:rsidR="00950033">
        <w:rPr>
          <w:rFonts w:ascii="David" w:hAnsi="David" w:cs="David" w:hint="cs"/>
          <w:rtl/>
        </w:rPr>
        <w:t xml:space="preserve">לצמצם </w:t>
      </w:r>
      <w:r w:rsidR="001A6386">
        <w:rPr>
          <w:rFonts w:ascii="David" w:hAnsi="David" w:cs="David" w:hint="cs"/>
          <w:rtl/>
        </w:rPr>
        <w:t>בע"א 48661-03-19</w:t>
      </w:r>
      <w:r w:rsidR="001A6386">
        <w:rPr>
          <w:rFonts w:ascii="David" w:hAnsi="David" w:cs="David" w:hint="cs"/>
          <w:rtl/>
        </w:rPr>
        <w:t xml:space="preserve"> את </w:t>
      </w:r>
      <w:r w:rsidR="00950033">
        <w:rPr>
          <w:rFonts w:ascii="David" w:hAnsi="David" w:cs="David" w:hint="cs"/>
          <w:rtl/>
        </w:rPr>
        <w:t xml:space="preserve">כתב ערעור בן 52 עמודים על פס"ד באורך 28 עמ' ועל 22 החלטות ביניים ל-10 עמודים בלבד, כשאחת </w:t>
      </w:r>
      <w:r w:rsidR="00950033">
        <w:rPr>
          <w:rFonts w:ascii="David" w:hAnsi="David" w:cs="David" w:hint="cs"/>
          <w:rtl/>
        </w:rPr>
        <w:t>מ</w:t>
      </w:r>
      <w:r w:rsidR="00950033">
        <w:rPr>
          <w:rFonts w:ascii="David" w:hAnsi="David" w:cs="David" w:hint="cs"/>
          <w:rtl/>
        </w:rPr>
        <w:t xml:space="preserve">החלטות </w:t>
      </w:r>
      <w:r w:rsidR="00950033">
        <w:rPr>
          <w:rFonts w:ascii="David" w:hAnsi="David" w:cs="David" w:hint="cs"/>
          <w:rtl/>
        </w:rPr>
        <w:t>הביניים עצמה באורך</w:t>
      </w:r>
      <w:r w:rsidR="00950033">
        <w:rPr>
          <w:rFonts w:ascii="David" w:hAnsi="David" w:cs="David" w:hint="cs"/>
          <w:rtl/>
        </w:rPr>
        <w:t xml:space="preserve"> 9 עמ' ודנה בפסילת תצהיר העדות הראשית וראיותיו של המערער והיא נשוא הבקשה לקבלת ראיות נוספות בערעור ש</w:t>
      </w:r>
      <w:r w:rsidR="00950033">
        <w:rPr>
          <w:rFonts w:ascii="David" w:hAnsi="David" w:cs="David" w:hint="cs"/>
          <w:rtl/>
        </w:rPr>
        <w:t xml:space="preserve">רק היא עצמה באורך </w:t>
      </w:r>
      <w:r w:rsidR="00950033">
        <w:rPr>
          <w:rFonts w:ascii="David" w:hAnsi="David" w:cs="David" w:hint="cs"/>
          <w:rtl/>
        </w:rPr>
        <w:t xml:space="preserve">כ-10 </w:t>
      </w:r>
      <w:proofErr w:type="spellStart"/>
      <w:r w:rsidR="00950033">
        <w:rPr>
          <w:rFonts w:ascii="David" w:hAnsi="David" w:cs="David" w:hint="cs"/>
          <w:rtl/>
        </w:rPr>
        <w:t>עמ</w:t>
      </w:r>
      <w:proofErr w:type="spellEnd"/>
      <w:r w:rsidR="00950033">
        <w:rPr>
          <w:rFonts w:ascii="David" w:hAnsi="David" w:cs="David" w:hint="cs"/>
          <w:rtl/>
        </w:rPr>
        <w:t>', ו</w:t>
      </w:r>
      <w:r w:rsidR="00950033">
        <w:rPr>
          <w:rFonts w:ascii="David" w:hAnsi="David" w:cs="David" w:hint="cs"/>
          <w:rtl/>
        </w:rPr>
        <w:t xml:space="preserve">כן </w:t>
      </w:r>
      <w:r w:rsidR="00950033">
        <w:rPr>
          <w:rFonts w:ascii="David" w:hAnsi="David" w:cs="David" w:hint="cs"/>
          <w:rtl/>
        </w:rPr>
        <w:t xml:space="preserve">לצמצם </w:t>
      </w:r>
      <w:r w:rsidR="001A6386">
        <w:rPr>
          <w:rFonts w:ascii="David" w:hAnsi="David" w:cs="David" w:hint="cs"/>
          <w:rtl/>
        </w:rPr>
        <w:t>בע"א 60400</w:t>
      </w:r>
      <w:r>
        <w:rPr>
          <w:rFonts w:ascii="David" w:hAnsi="David" w:cs="David" w:hint="cs"/>
          <w:rtl/>
        </w:rPr>
        <w:t xml:space="preserve">-02-20 את </w:t>
      </w:r>
      <w:r w:rsidR="00950033">
        <w:rPr>
          <w:rFonts w:ascii="David" w:hAnsi="David" w:cs="David" w:hint="cs"/>
          <w:rtl/>
        </w:rPr>
        <w:t xml:space="preserve">כתב </w:t>
      </w:r>
      <w:r>
        <w:rPr>
          <w:rFonts w:ascii="David" w:hAnsi="David" w:cs="David" w:hint="cs"/>
          <w:rtl/>
        </w:rPr>
        <w:t>ה</w:t>
      </w:r>
      <w:r w:rsidR="00950033">
        <w:rPr>
          <w:rFonts w:ascii="David" w:hAnsi="David" w:cs="David" w:hint="cs"/>
          <w:rtl/>
        </w:rPr>
        <w:t xml:space="preserve">ערעור </w:t>
      </w:r>
      <w:r>
        <w:rPr>
          <w:rFonts w:ascii="David" w:hAnsi="David" w:cs="David" w:hint="cs"/>
          <w:rtl/>
        </w:rPr>
        <w:t xml:space="preserve">שאורכו </w:t>
      </w:r>
      <w:r w:rsidR="00950033">
        <w:rPr>
          <w:rFonts w:ascii="David" w:hAnsi="David" w:cs="David" w:hint="cs"/>
          <w:rtl/>
        </w:rPr>
        <w:t>כ-40 עמ' על פס"ד באורך 18 עמ'</w:t>
      </w:r>
      <w:r>
        <w:rPr>
          <w:rFonts w:ascii="David" w:hAnsi="David" w:cs="David" w:hint="cs"/>
          <w:rtl/>
        </w:rPr>
        <w:t xml:space="preserve"> ועל 13 החלטות ביניים ל-10 </w:t>
      </w:r>
      <w:proofErr w:type="spellStart"/>
      <w:r>
        <w:rPr>
          <w:rFonts w:ascii="David" w:hAnsi="David" w:cs="David" w:hint="cs"/>
          <w:rtl/>
        </w:rPr>
        <w:t>עמ</w:t>
      </w:r>
      <w:proofErr w:type="spellEnd"/>
      <w:r>
        <w:rPr>
          <w:rFonts w:ascii="David" w:hAnsi="David" w:cs="David" w:hint="cs"/>
          <w:rtl/>
        </w:rPr>
        <w:t>'</w:t>
      </w:r>
      <w:r w:rsidR="0049610F">
        <w:rPr>
          <w:rFonts w:ascii="David" w:hAnsi="David" w:cs="David" w:hint="cs"/>
          <w:rtl/>
        </w:rPr>
        <w:t>, אלא התייחסה רק למובן הדיוני של החלטות אלו.</w:t>
      </w:r>
    </w:p>
    <w:p w:rsidR="001056AA" w:rsidRDefault="0049610F" w:rsidP="00FF31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ויוער שהנשיאה השמיטה את הפרטים הקטנים והמשמעותיים ביותר לעניין מספרי העמודים של כתבי הערעור למרות בקשת</w:t>
      </w:r>
      <w:r w:rsidR="00FF3167">
        <w:rPr>
          <w:rFonts w:ascii="David" w:hAnsi="David" w:cs="David" w:hint="cs"/>
          <w:rtl/>
        </w:rPr>
        <w:t xml:space="preserve">ו המפורשת של </w:t>
      </w:r>
      <w:r>
        <w:rPr>
          <w:rFonts w:ascii="David" w:hAnsi="David" w:cs="David" w:hint="cs"/>
          <w:rtl/>
        </w:rPr>
        <w:t xml:space="preserve">המערער </w:t>
      </w:r>
      <w:r w:rsidR="00A707D8">
        <w:rPr>
          <w:rFonts w:ascii="David" w:hAnsi="David" w:cs="David" w:hint="cs"/>
          <w:rtl/>
        </w:rPr>
        <w:t xml:space="preserve">בשני הערעורים </w:t>
      </w:r>
      <w:r>
        <w:rPr>
          <w:rFonts w:ascii="David" w:hAnsi="David" w:cs="David" w:hint="cs"/>
          <w:rtl/>
        </w:rPr>
        <w:t>לכלול אותם בפסה"</w:t>
      </w:r>
      <w:r w:rsidR="00A707D8">
        <w:rPr>
          <w:rFonts w:ascii="David" w:hAnsi="David" w:cs="David" w:hint="cs"/>
          <w:rtl/>
        </w:rPr>
        <w:t>ד</w:t>
      </w:r>
      <w:r w:rsidR="002F6729">
        <w:rPr>
          <w:rFonts w:ascii="David" w:hAnsi="David" w:cs="David" w:hint="cs"/>
          <w:rtl/>
        </w:rPr>
        <w:t xml:space="preserve"> - </w:t>
      </w:r>
      <w:proofErr w:type="spellStart"/>
      <w:r w:rsidR="00A707D8">
        <w:rPr>
          <w:rFonts w:ascii="David" w:hAnsi="David" w:cs="David" w:hint="cs"/>
          <w:rtl/>
        </w:rPr>
        <w:t>בסע</w:t>
      </w:r>
      <w:proofErr w:type="spellEnd"/>
      <w:r w:rsidR="00A707D8">
        <w:rPr>
          <w:rFonts w:ascii="David" w:hAnsi="David" w:cs="David" w:hint="cs"/>
          <w:rtl/>
        </w:rPr>
        <w:t xml:space="preserve">' </w:t>
      </w:r>
      <w:r w:rsidR="002F6729">
        <w:rPr>
          <w:rFonts w:ascii="David" w:hAnsi="David" w:cs="David" w:hint="cs"/>
          <w:rtl/>
        </w:rPr>
        <w:t xml:space="preserve">6 לכתב הערעור בע"א 6579/20 </w:t>
      </w:r>
      <w:proofErr w:type="spellStart"/>
      <w:r w:rsidR="002F6729">
        <w:rPr>
          <w:rFonts w:ascii="David" w:hAnsi="David" w:cs="David" w:hint="cs"/>
          <w:rtl/>
        </w:rPr>
        <w:t>ובסע</w:t>
      </w:r>
      <w:proofErr w:type="spellEnd"/>
      <w:r w:rsidR="002F6729">
        <w:rPr>
          <w:rFonts w:ascii="David" w:hAnsi="David" w:cs="David" w:hint="cs"/>
          <w:rtl/>
        </w:rPr>
        <w:t>' 6 לכתב הערעור בע"</w:t>
      </w:r>
      <w:r w:rsidR="00FF3167">
        <w:rPr>
          <w:rFonts w:ascii="David" w:hAnsi="David" w:cs="David" w:hint="cs"/>
          <w:rtl/>
        </w:rPr>
        <w:t>א 6580/20, וגם עניין זה מחזק את הטענה שכב' הנשיאה לא דנה כלל בשאלת ניגוד העניינים האתי.</w:t>
      </w:r>
    </w:p>
    <w:p w:rsidR="00677231" w:rsidRDefault="00677231" w:rsidP="00A707D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"עקרון ערך הביניים"</w:t>
      </w:r>
      <w:r w:rsidR="00BA504E">
        <w:rPr>
          <w:rFonts w:ascii="David" w:hAnsi="David" w:cs="David" w:hint="cs"/>
          <w:rtl/>
        </w:rPr>
        <w:t xml:space="preserve"> המתמטי אומר</w:t>
      </w:r>
      <w:r>
        <w:rPr>
          <w:rFonts w:ascii="David" w:hAnsi="David" w:cs="David" w:hint="cs"/>
          <w:rtl/>
        </w:rPr>
        <w:t>, ש</w:t>
      </w:r>
      <w:r w:rsidR="00BA504E">
        <w:rPr>
          <w:rFonts w:ascii="David" w:hAnsi="David" w:cs="David" w:hint="cs"/>
          <w:rtl/>
        </w:rPr>
        <w:t xml:space="preserve">פונקציה </w:t>
      </w:r>
      <w:r w:rsidR="00BA504E" w:rsidRPr="00BA504E">
        <w:rPr>
          <w:rFonts w:ascii="David" w:hAnsi="David" w:cs="David" w:hint="cs"/>
          <w:b/>
          <w:bCs/>
          <w:u w:val="single"/>
          <w:rtl/>
        </w:rPr>
        <w:t>רציפה</w:t>
      </w:r>
      <w:r w:rsidR="00BA504E">
        <w:rPr>
          <w:rFonts w:ascii="David" w:hAnsi="David" w:cs="David" w:hint="cs"/>
          <w:rtl/>
        </w:rPr>
        <w:t xml:space="preserve"> (שאין בה קפיצות נקודתיות) שיוצאת נניח מהערך 3 ומגיעה נניח לערך 10, חייבת לעבור </w:t>
      </w:r>
      <w:r w:rsidR="00566FE8">
        <w:rPr>
          <w:rFonts w:ascii="David" w:hAnsi="David" w:cs="David" w:hint="cs"/>
          <w:rtl/>
        </w:rPr>
        <w:t xml:space="preserve">למשל </w:t>
      </w:r>
      <w:r w:rsidR="00BA504E">
        <w:rPr>
          <w:rFonts w:ascii="David" w:hAnsi="David" w:cs="David" w:hint="cs"/>
          <w:rtl/>
        </w:rPr>
        <w:t xml:space="preserve">דרך </w:t>
      </w:r>
      <w:r w:rsidR="0099100C">
        <w:rPr>
          <w:rFonts w:ascii="David" w:hAnsi="David" w:cs="David" w:hint="cs"/>
          <w:rtl/>
        </w:rPr>
        <w:t>הערך</w:t>
      </w:r>
      <w:r w:rsidR="00BA504E">
        <w:rPr>
          <w:rFonts w:ascii="David" w:hAnsi="David" w:cs="David" w:hint="cs"/>
          <w:rtl/>
        </w:rPr>
        <w:t xml:space="preserve"> </w:t>
      </w:r>
      <w:r w:rsidR="00C7075B">
        <w:rPr>
          <w:rFonts w:ascii="David" w:hAnsi="David" w:cs="David" w:hint="cs"/>
          <w:rtl/>
        </w:rPr>
        <w:t>7</w:t>
      </w:r>
      <w:r w:rsidR="0099100C">
        <w:rPr>
          <w:rFonts w:ascii="David" w:hAnsi="David" w:cs="David" w:hint="cs"/>
          <w:rtl/>
        </w:rPr>
        <w:t xml:space="preserve">, שהוא </w:t>
      </w:r>
      <w:r w:rsidR="001056AA">
        <w:rPr>
          <w:rFonts w:ascii="David" w:hAnsi="David" w:cs="David" w:hint="cs"/>
          <w:rtl/>
        </w:rPr>
        <w:t>ערך הביניים לצורך הדוגמה</w:t>
      </w:r>
    </w:p>
    <w:p w:rsidR="00677231" w:rsidRDefault="00FF3167" w:rsidP="00FF31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ברור ש</w:t>
      </w:r>
      <w:r w:rsidR="00BA504E">
        <w:rPr>
          <w:rFonts w:ascii="David" w:hAnsi="David" w:cs="David" w:hint="cs"/>
          <w:rtl/>
        </w:rPr>
        <w:t xml:space="preserve">שופט עמית שמרוויח לתיק </w:t>
      </w:r>
      <w:r w:rsidR="003321C7">
        <w:rPr>
          <w:rFonts w:ascii="David" w:hAnsi="David" w:cs="David" w:hint="cs"/>
          <w:rtl/>
        </w:rPr>
        <w:t xml:space="preserve">10 </w:t>
      </w:r>
      <w:r w:rsidR="00BA504E">
        <w:rPr>
          <w:rFonts w:ascii="David" w:hAnsi="David" w:cs="David" w:hint="cs"/>
          <w:rtl/>
        </w:rPr>
        <w:t xml:space="preserve">שקלים </w:t>
      </w:r>
      <w:r w:rsidR="003321C7">
        <w:rPr>
          <w:rFonts w:ascii="David" w:hAnsi="David" w:cs="David" w:hint="cs"/>
          <w:rtl/>
        </w:rPr>
        <w:t xml:space="preserve">על כל </w:t>
      </w:r>
      <w:r>
        <w:rPr>
          <w:rFonts w:ascii="David" w:hAnsi="David" w:cs="David" w:hint="cs"/>
          <w:rtl/>
        </w:rPr>
        <w:t>הטיפול ב</w:t>
      </w:r>
      <w:r w:rsidR="003321C7">
        <w:rPr>
          <w:rFonts w:ascii="David" w:hAnsi="David" w:cs="David" w:hint="cs"/>
          <w:rtl/>
        </w:rPr>
        <w:t xml:space="preserve">תיק </w:t>
      </w:r>
      <w:r>
        <w:rPr>
          <w:rFonts w:ascii="David" w:hAnsi="David" w:cs="David" w:hint="cs"/>
          <w:rtl/>
        </w:rPr>
        <w:t>גם אם הוא נדרשים 100 שעות נמצא</w:t>
      </w:r>
      <w:r w:rsidR="00BA504E">
        <w:rPr>
          <w:rFonts w:ascii="David" w:hAnsi="David" w:cs="David" w:hint="cs"/>
          <w:rtl/>
        </w:rPr>
        <w:t xml:space="preserve"> בניגוד עניינים</w:t>
      </w:r>
      <w:r>
        <w:rPr>
          <w:rFonts w:ascii="David" w:hAnsi="David" w:cs="David" w:hint="cs"/>
          <w:rtl/>
        </w:rPr>
        <w:t>, ומנגד ברור ש</w:t>
      </w:r>
      <w:r w:rsidR="00BA504E">
        <w:rPr>
          <w:rFonts w:ascii="David" w:hAnsi="David" w:cs="David" w:hint="cs"/>
          <w:rtl/>
        </w:rPr>
        <w:t xml:space="preserve">שופט שמרוויח 5000 ₪ </w:t>
      </w:r>
      <w:r w:rsidR="00BA504E" w:rsidRPr="00BA504E">
        <w:rPr>
          <w:rFonts w:ascii="David" w:hAnsi="David" w:cs="David" w:hint="cs"/>
          <w:b/>
          <w:bCs/>
          <w:rtl/>
        </w:rPr>
        <w:t>לכל</w:t>
      </w:r>
      <w:r w:rsidR="00BA504E">
        <w:rPr>
          <w:rFonts w:ascii="David" w:hAnsi="David" w:cs="David" w:hint="cs"/>
          <w:rtl/>
        </w:rPr>
        <w:t xml:space="preserve"> </w:t>
      </w:r>
      <w:r w:rsidR="00BA504E" w:rsidRPr="00FF3167">
        <w:rPr>
          <w:rFonts w:ascii="David" w:hAnsi="David" w:cs="David" w:hint="cs"/>
          <w:b/>
          <w:bCs/>
          <w:rtl/>
        </w:rPr>
        <w:t>שעה</w:t>
      </w:r>
      <w:r w:rsidR="00BA504E">
        <w:rPr>
          <w:rFonts w:ascii="David" w:hAnsi="David" w:cs="David" w:hint="cs"/>
          <w:rtl/>
        </w:rPr>
        <w:t xml:space="preserve"> שהוא עובד על התיק לא נמצא בניגוד עניינים.</w:t>
      </w:r>
      <w:r w:rsidR="00EC6D74">
        <w:rPr>
          <w:rFonts w:ascii="David" w:hAnsi="David" w:cs="David" w:hint="cs"/>
          <w:rtl/>
        </w:rPr>
        <w:t xml:space="preserve"> מהו אם כן ערך הביניים שבו יש מעבר ממצב </w:t>
      </w:r>
      <w:r>
        <w:rPr>
          <w:rFonts w:ascii="David" w:hAnsi="David" w:cs="David" w:hint="cs"/>
          <w:rtl/>
        </w:rPr>
        <w:t>של</w:t>
      </w:r>
      <w:r w:rsidR="00EC6D74">
        <w:rPr>
          <w:rFonts w:ascii="David" w:hAnsi="David" w:cs="David" w:hint="cs"/>
          <w:rtl/>
        </w:rPr>
        <w:t xml:space="preserve"> ניגוד עניינים למצב בו אין ניגוד עניינים?</w:t>
      </w:r>
    </w:p>
    <w:p w:rsidR="008C031D" w:rsidRDefault="001056AA" w:rsidP="008C031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ind w:left="357" w:hanging="35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ולכן, עולות </w:t>
      </w:r>
      <w:r w:rsidR="00BA504E">
        <w:rPr>
          <w:rFonts w:ascii="David" w:hAnsi="David" w:cs="David" w:hint="cs"/>
          <w:rtl/>
        </w:rPr>
        <w:t xml:space="preserve">השאלות המשפטיות </w:t>
      </w:r>
      <w:r w:rsidR="0049610F">
        <w:rPr>
          <w:rFonts w:ascii="David" w:hAnsi="David" w:cs="David" w:hint="cs"/>
          <w:rtl/>
        </w:rPr>
        <w:t xml:space="preserve">האתיות </w:t>
      </w:r>
      <w:r>
        <w:rPr>
          <w:rFonts w:ascii="David" w:hAnsi="David" w:cs="David" w:hint="cs"/>
          <w:rtl/>
        </w:rPr>
        <w:t xml:space="preserve">הבאות </w:t>
      </w:r>
      <w:r w:rsidR="0099100C">
        <w:rPr>
          <w:rFonts w:ascii="David" w:hAnsi="David" w:cs="David" w:hint="cs"/>
          <w:rtl/>
        </w:rPr>
        <w:t xml:space="preserve">שנכללו </w:t>
      </w:r>
      <w:r w:rsidR="00BA504E">
        <w:rPr>
          <w:rFonts w:ascii="David" w:hAnsi="David" w:cs="David" w:hint="cs"/>
          <w:rtl/>
        </w:rPr>
        <w:t xml:space="preserve">בערעור </w:t>
      </w:r>
      <w:r w:rsidR="0099100C">
        <w:rPr>
          <w:rFonts w:ascii="David" w:hAnsi="David" w:cs="David" w:hint="cs"/>
          <w:rtl/>
        </w:rPr>
        <w:t>ו</w:t>
      </w:r>
      <w:r w:rsidR="008C031D">
        <w:rPr>
          <w:rFonts w:ascii="David" w:hAnsi="David" w:cs="David" w:hint="cs"/>
          <w:rtl/>
        </w:rPr>
        <w:t xml:space="preserve">שעליהן לא ניתן פסק דין </w:t>
      </w:r>
      <w:r w:rsidR="00BA504E">
        <w:rPr>
          <w:rFonts w:ascii="David" w:hAnsi="David" w:cs="David" w:hint="cs"/>
          <w:rtl/>
        </w:rPr>
        <w:t>הן:</w:t>
      </w:r>
    </w:p>
    <w:p w:rsidR="008C031D" w:rsidRDefault="008C031D" w:rsidP="001056AA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before="240" w:line="360" w:lineRule="auto"/>
        <w:ind w:left="985" w:hanging="697"/>
        <w:contextualSpacing w:val="0"/>
        <w:jc w:val="both"/>
        <w:rPr>
          <w:rFonts w:ascii="David" w:hAnsi="David" w:cs="David"/>
        </w:rPr>
      </w:pPr>
      <w:r w:rsidRPr="008C031D">
        <w:rPr>
          <w:rFonts w:ascii="David" w:hAnsi="David" w:cs="David" w:hint="cs"/>
          <w:rtl/>
        </w:rPr>
        <w:t xml:space="preserve">האם ניתן לקבוע </w:t>
      </w:r>
      <w:r w:rsidR="00C7075B">
        <w:rPr>
          <w:rFonts w:ascii="David" w:hAnsi="David" w:cs="David" w:hint="cs"/>
          <w:rtl/>
        </w:rPr>
        <w:t xml:space="preserve">דיכוטומית </w:t>
      </w:r>
      <w:r w:rsidRPr="008C031D">
        <w:rPr>
          <w:rFonts w:ascii="David" w:hAnsi="David" w:cs="David" w:hint="cs"/>
          <w:rtl/>
        </w:rPr>
        <w:t>ערך ביניים לעניין שכרו של שופט עמית לגבי כל התיקים</w:t>
      </w:r>
      <w:r w:rsidR="00C7075B">
        <w:rPr>
          <w:rFonts w:ascii="David" w:hAnsi="David" w:cs="David" w:hint="cs"/>
          <w:rtl/>
        </w:rPr>
        <w:t>, היינו מעל שכר זה השופט לא נמצא בניגוד עניינים, ומתחת לערך זה הוא כן נמצא בניגוד עניינים.</w:t>
      </w:r>
    </w:p>
    <w:p w:rsidR="008C031D" w:rsidRDefault="008C031D" w:rsidP="003321C7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before="240" w:line="360" w:lineRule="auto"/>
        <w:ind w:left="985" w:hanging="697"/>
        <w:contextualSpacing w:val="0"/>
        <w:jc w:val="both"/>
        <w:rPr>
          <w:rFonts w:ascii="David" w:hAnsi="David" w:cs="David"/>
        </w:rPr>
      </w:pPr>
      <w:r w:rsidRPr="008C031D">
        <w:rPr>
          <w:rFonts w:ascii="David" w:hAnsi="David" w:cs="David" w:hint="cs"/>
          <w:rtl/>
        </w:rPr>
        <w:t xml:space="preserve">אם </w:t>
      </w:r>
      <w:r w:rsidR="00C7075B">
        <w:rPr>
          <w:rFonts w:ascii="David" w:hAnsi="David" w:cs="David" w:hint="cs"/>
          <w:rtl/>
        </w:rPr>
        <w:t>לא</w:t>
      </w:r>
      <w:r w:rsidR="001056AA">
        <w:rPr>
          <w:rFonts w:ascii="David" w:hAnsi="David" w:cs="David" w:hint="cs"/>
          <w:rtl/>
        </w:rPr>
        <w:t xml:space="preserve"> ניתן לקבוע ערך ביניים זה</w:t>
      </w:r>
      <w:r w:rsidRPr="008C031D">
        <w:rPr>
          <w:rFonts w:ascii="David" w:hAnsi="David" w:cs="David" w:hint="cs"/>
          <w:rtl/>
        </w:rPr>
        <w:t xml:space="preserve">, </w:t>
      </w:r>
      <w:r w:rsidR="00C7075B">
        <w:rPr>
          <w:rFonts w:ascii="David" w:hAnsi="David" w:cs="David" w:hint="cs"/>
          <w:rtl/>
        </w:rPr>
        <w:t>מהם המבחנים לקביעת ערך הביניים ביחס לשכר של שופט עמית כדי שלא יהיה בניגוד עניינים או ל</w:t>
      </w:r>
      <w:r w:rsidR="001056AA">
        <w:rPr>
          <w:rFonts w:ascii="David" w:hAnsi="David" w:cs="David" w:hint="cs"/>
          <w:rtl/>
        </w:rPr>
        <w:t>חלופין ל</w:t>
      </w:r>
      <w:r w:rsidR="00C7075B">
        <w:rPr>
          <w:rFonts w:ascii="David" w:hAnsi="David" w:cs="David" w:hint="cs"/>
          <w:rtl/>
        </w:rPr>
        <w:t xml:space="preserve">היותו בניגוד עניינים?  האם ניתן לקבוע שכר מינימום כזה? </w:t>
      </w:r>
      <w:r w:rsidR="003321C7">
        <w:rPr>
          <w:rFonts w:ascii="David" w:hAnsi="David" w:cs="David" w:hint="cs"/>
          <w:rtl/>
        </w:rPr>
        <w:t>ואם ניתן, ע"פ איזה מדדים? האם יקבעו לכל מקרה לגופו? או שיהיה שכר מינימום כמו למשל שכ"ט מינימאלי הקבוע בלשכת עוה"ד.</w:t>
      </w:r>
    </w:p>
    <w:p w:rsidR="00BA504E" w:rsidRDefault="00BA504E" w:rsidP="001B667F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before="240" w:line="360" w:lineRule="auto"/>
        <w:ind w:left="985" w:hanging="697"/>
        <w:contextualSpacing w:val="0"/>
        <w:jc w:val="both"/>
        <w:rPr>
          <w:rFonts w:ascii="David" w:hAnsi="David" w:cs="David"/>
        </w:rPr>
      </w:pPr>
      <w:r w:rsidRPr="008C031D">
        <w:rPr>
          <w:rFonts w:ascii="David" w:hAnsi="David" w:cs="David" w:hint="cs"/>
          <w:rtl/>
        </w:rPr>
        <w:lastRenderedPageBreak/>
        <w:t>האם 16</w:t>
      </w:r>
      <w:r w:rsidR="001B667F">
        <w:rPr>
          <w:rFonts w:ascii="David" w:hAnsi="David" w:cs="David" w:hint="cs"/>
          <w:rtl/>
        </w:rPr>
        <w:t>5</w:t>
      </w:r>
      <w:r w:rsidRPr="008C031D">
        <w:rPr>
          <w:rFonts w:ascii="David" w:hAnsi="David" w:cs="David" w:hint="cs"/>
          <w:rtl/>
        </w:rPr>
        <w:t xml:space="preserve"> ₪ </w:t>
      </w:r>
      <w:r w:rsidR="008C031D" w:rsidRPr="008C031D">
        <w:rPr>
          <w:rFonts w:ascii="David" w:hAnsi="David" w:cs="David" w:hint="cs"/>
          <w:rtl/>
        </w:rPr>
        <w:t xml:space="preserve">כשכר כולל לטיפול בכל </w:t>
      </w:r>
      <w:r w:rsidRPr="008C031D">
        <w:rPr>
          <w:rFonts w:ascii="David" w:hAnsi="David" w:cs="David" w:hint="cs"/>
          <w:rtl/>
        </w:rPr>
        <w:t>ערעור</w:t>
      </w:r>
      <w:r w:rsidR="008C031D" w:rsidRPr="008C031D">
        <w:rPr>
          <w:rFonts w:ascii="David" w:hAnsi="David" w:cs="David" w:hint="cs"/>
          <w:rtl/>
        </w:rPr>
        <w:t xml:space="preserve"> מסוג הערעורים </w:t>
      </w:r>
      <w:r w:rsidRPr="008C031D">
        <w:rPr>
          <w:rFonts w:ascii="David" w:hAnsi="David" w:cs="David" w:hint="cs"/>
          <w:rtl/>
        </w:rPr>
        <w:t xml:space="preserve">שהמערער הגיש על פסקי הדין של השופטים מיכאל תמיר וסגנית הנשיא השופטת סיגל </w:t>
      </w:r>
      <w:proofErr w:type="spellStart"/>
      <w:r w:rsidRPr="008C031D">
        <w:rPr>
          <w:rFonts w:ascii="David" w:hAnsi="David" w:cs="David" w:hint="cs"/>
          <w:rtl/>
        </w:rPr>
        <w:t>רסלר</w:t>
      </w:r>
      <w:proofErr w:type="spellEnd"/>
      <w:r w:rsidRPr="008C031D">
        <w:rPr>
          <w:rFonts w:ascii="David" w:hAnsi="David" w:cs="David" w:hint="cs"/>
          <w:rtl/>
        </w:rPr>
        <w:t xml:space="preserve"> זכאי מהווים </w:t>
      </w:r>
      <w:r w:rsidR="008C031D" w:rsidRPr="008C031D">
        <w:rPr>
          <w:rFonts w:ascii="David" w:hAnsi="David" w:cs="David" w:hint="cs"/>
          <w:rtl/>
        </w:rPr>
        <w:t>שכר שבגינו השופטת דותן בניגוד עניינים?</w:t>
      </w:r>
    </w:p>
    <w:p w:rsidR="007D7BA5" w:rsidRDefault="007D7BA5" w:rsidP="003321C7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before="240" w:line="360" w:lineRule="auto"/>
        <w:ind w:left="985" w:hanging="69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האם שופט שיודע שהוא פועל בניגוד עניינים ויודע שלא יוכל לעשות </w:t>
      </w:r>
      <w:r w:rsidR="003321C7">
        <w:rPr>
          <w:rFonts w:ascii="David" w:hAnsi="David" w:cs="David" w:hint="cs"/>
          <w:rtl/>
        </w:rPr>
        <w:t>את עבודתו נאמנה וכראוי הוא פסול מטעם של ניגוד עניינים אתי?  האם גם מטעם של משוא פנים?</w:t>
      </w:r>
    </w:p>
    <w:p w:rsidR="001056AA" w:rsidRDefault="001056AA" w:rsidP="003321C7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before="240" w:line="360" w:lineRule="auto"/>
        <w:ind w:left="985" w:hanging="697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האם שופט שנותן הוראה לבעל דין ביודעו שלא ניתן לקיימה מבלי לפגוע קשות בזכויותיו המהותיות והדיוניות של בעל הדין ה</w:t>
      </w:r>
      <w:r w:rsidR="003321C7">
        <w:rPr>
          <w:rFonts w:ascii="David" w:hAnsi="David" w:cs="David" w:hint="cs"/>
          <w:rtl/>
        </w:rPr>
        <w:t>יא עניין אתי או משוא פנים?</w:t>
      </w:r>
    </w:p>
    <w:p w:rsidR="0049610F" w:rsidRDefault="0049610F" w:rsidP="001132E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contextualSpacing w:val="0"/>
        <w:jc w:val="both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מכיוון שפס"ד ר</w:t>
      </w:r>
      <w:r w:rsidR="002A3220" w:rsidRPr="00924337">
        <w:rPr>
          <w:rFonts w:ascii="David" w:hAnsi="David" w:cs="David" w:hint="cs"/>
          <w:rtl/>
        </w:rPr>
        <w:t>אוי</w:t>
      </w:r>
      <w:r w:rsidR="00B21281" w:rsidRPr="00924337">
        <w:rPr>
          <w:rFonts w:ascii="David" w:hAnsi="David" w:cs="David" w:hint="cs"/>
          <w:rtl/>
        </w:rPr>
        <w:t xml:space="preserve"> </w:t>
      </w:r>
      <w:r w:rsidR="002A639E" w:rsidRPr="00924337">
        <w:rPr>
          <w:rFonts w:ascii="David" w:hAnsi="David" w:cs="David" w:hint="cs"/>
          <w:rtl/>
        </w:rPr>
        <w:t>ו</w:t>
      </w:r>
      <w:r w:rsidR="00C7075B" w:rsidRPr="00924337">
        <w:rPr>
          <w:rFonts w:ascii="David" w:hAnsi="David" w:cs="David" w:hint="cs"/>
          <w:rtl/>
        </w:rPr>
        <w:t xml:space="preserve">צודק </w:t>
      </w:r>
      <w:r w:rsidR="002A3220" w:rsidRPr="00924337">
        <w:rPr>
          <w:rFonts w:ascii="David" w:hAnsi="David" w:cs="David" w:hint="cs"/>
          <w:rtl/>
        </w:rPr>
        <w:t xml:space="preserve">היה צריך לדון בכל השאלות הנ"ל </w:t>
      </w:r>
      <w:r w:rsidR="0099100C" w:rsidRPr="00924337">
        <w:rPr>
          <w:rFonts w:ascii="David" w:hAnsi="David" w:cs="David" w:hint="cs"/>
          <w:rtl/>
        </w:rPr>
        <w:t>תוך</w:t>
      </w:r>
      <w:r w:rsidR="002A3220" w:rsidRPr="00924337">
        <w:rPr>
          <w:rFonts w:ascii="David" w:hAnsi="David" w:cs="David" w:hint="cs"/>
          <w:rtl/>
        </w:rPr>
        <w:t xml:space="preserve"> שהוא מביא את העובדות והטענות העיקריות, ואח"כ לייש</w:t>
      </w:r>
      <w:r w:rsidR="00C7075B" w:rsidRPr="00924337">
        <w:rPr>
          <w:rFonts w:ascii="David" w:hAnsi="David" w:cs="David" w:hint="cs"/>
          <w:rtl/>
        </w:rPr>
        <w:t xml:space="preserve">מן </w:t>
      </w:r>
      <w:r w:rsidR="002A3220" w:rsidRPr="00924337">
        <w:rPr>
          <w:rFonts w:ascii="David" w:hAnsi="David" w:cs="David" w:hint="cs"/>
          <w:rtl/>
        </w:rPr>
        <w:t xml:space="preserve">למקרה הקונקרטי, </w:t>
      </w:r>
      <w:r w:rsidR="001B667F">
        <w:rPr>
          <w:rFonts w:ascii="David" w:hAnsi="David" w:cs="David" w:hint="cs"/>
          <w:rtl/>
        </w:rPr>
        <w:t>אזי</w:t>
      </w:r>
      <w:r>
        <w:rPr>
          <w:rFonts w:ascii="David" w:hAnsi="David" w:cs="David" w:hint="cs"/>
          <w:rtl/>
        </w:rPr>
        <w:t xml:space="preserve"> </w:t>
      </w:r>
      <w:r w:rsidR="001B667F">
        <w:rPr>
          <w:rFonts w:ascii="David" w:hAnsi="David" w:cs="David" w:hint="cs"/>
          <w:rtl/>
        </w:rPr>
        <w:t xml:space="preserve">עלו השאלות אם כב' הנשיאה פסקה גם בעניין ניגוד העניינים </w:t>
      </w:r>
      <w:r w:rsidR="002F6729">
        <w:rPr>
          <w:rFonts w:ascii="David" w:hAnsi="David" w:cs="David" w:hint="cs"/>
          <w:rtl/>
        </w:rPr>
        <w:t xml:space="preserve">מכיוון שפסה"ד לא העלה אותן </w:t>
      </w:r>
      <w:r w:rsidR="001B667F">
        <w:rPr>
          <w:rFonts w:ascii="David" w:hAnsi="David" w:cs="David" w:hint="cs"/>
          <w:rtl/>
        </w:rPr>
        <w:t xml:space="preserve">כלל ולא </w:t>
      </w:r>
      <w:r w:rsidR="002F6729">
        <w:rPr>
          <w:rFonts w:ascii="David" w:hAnsi="David" w:cs="David" w:hint="cs"/>
          <w:rtl/>
        </w:rPr>
        <w:t>דן בהן בכלל</w:t>
      </w:r>
      <w:r w:rsidR="001B667F">
        <w:rPr>
          <w:rFonts w:ascii="David" w:hAnsi="David" w:cs="David" w:hint="cs"/>
          <w:rtl/>
        </w:rPr>
        <w:t xml:space="preserve"> -</w:t>
      </w:r>
      <w:r>
        <w:rPr>
          <w:rFonts w:ascii="David" w:hAnsi="David" w:cs="David" w:hint="cs"/>
          <w:rtl/>
        </w:rPr>
        <w:t xml:space="preserve"> הן כי הדבר לא בסמכותה, הן כי מפסה"ד הושמטו כל העובדות והטענות המהותיות ביותר ההכרחיות לדיון זה וליישומו במקרה הקונקרטי</w:t>
      </w:r>
      <w:r w:rsidR="002F6729">
        <w:rPr>
          <w:rFonts w:ascii="David" w:hAnsi="David" w:cs="David" w:hint="cs"/>
          <w:rtl/>
        </w:rPr>
        <w:t xml:space="preserve">, והן כי פסה"ד לא דן בכלל בשאלות הנוגעות בדבר (סע' </w:t>
      </w:r>
      <w:r w:rsidR="001132E7">
        <w:rPr>
          <w:rFonts w:ascii="David" w:hAnsi="David" w:cs="David" w:hint="cs"/>
          <w:rtl/>
        </w:rPr>
        <w:t>21</w:t>
      </w:r>
      <w:r w:rsidR="002F6729">
        <w:rPr>
          <w:rFonts w:ascii="David" w:hAnsi="David" w:cs="David" w:hint="cs"/>
          <w:rtl/>
        </w:rPr>
        <w:t xml:space="preserve"> רבתי לעיל) והן</w:t>
      </w:r>
      <w:r>
        <w:rPr>
          <w:rFonts w:ascii="David" w:hAnsi="David" w:cs="David" w:hint="cs"/>
          <w:rtl/>
        </w:rPr>
        <w:t xml:space="preserve"> לאור הסתירה </w:t>
      </w:r>
      <w:proofErr w:type="spellStart"/>
      <w:r w:rsidR="002F6729">
        <w:rPr>
          <w:rFonts w:ascii="David" w:hAnsi="David" w:cs="David" w:hint="cs"/>
          <w:rtl/>
        </w:rPr>
        <w:t>בסע</w:t>
      </w:r>
      <w:proofErr w:type="spellEnd"/>
      <w:r w:rsidR="002F6729">
        <w:rPr>
          <w:rFonts w:ascii="David" w:hAnsi="David" w:cs="David" w:hint="cs"/>
          <w:rtl/>
        </w:rPr>
        <w:t>' 7 ל</w:t>
      </w:r>
      <w:r>
        <w:rPr>
          <w:rFonts w:ascii="David" w:hAnsi="David" w:cs="David" w:hint="cs"/>
          <w:rtl/>
        </w:rPr>
        <w:t>פסה"</w:t>
      </w:r>
      <w:r w:rsidR="002F6729">
        <w:rPr>
          <w:rFonts w:ascii="David" w:hAnsi="David" w:cs="David" w:hint="cs"/>
          <w:rtl/>
        </w:rPr>
        <w:t xml:space="preserve">ד כמצוין </w:t>
      </w:r>
      <w:proofErr w:type="spellStart"/>
      <w:r w:rsidR="002F6729" w:rsidRPr="00EC7924">
        <w:rPr>
          <w:rFonts w:ascii="David" w:hAnsi="David" w:cs="David" w:hint="cs"/>
          <w:rtl/>
        </w:rPr>
        <w:t>בסע</w:t>
      </w:r>
      <w:proofErr w:type="spellEnd"/>
      <w:r w:rsidR="002F6729" w:rsidRPr="00EC7924">
        <w:rPr>
          <w:rFonts w:ascii="David" w:hAnsi="David" w:cs="David" w:hint="cs"/>
          <w:rtl/>
        </w:rPr>
        <w:t xml:space="preserve">' </w:t>
      </w:r>
      <w:r w:rsidR="003C5136">
        <w:rPr>
          <w:rFonts w:ascii="David" w:hAnsi="David" w:cs="David" w:hint="cs"/>
          <w:rtl/>
        </w:rPr>
        <w:t>12</w:t>
      </w:r>
      <w:r w:rsidR="002F6729" w:rsidRPr="00EC7924">
        <w:rPr>
          <w:rFonts w:ascii="David" w:hAnsi="David" w:cs="David" w:hint="cs"/>
          <w:rtl/>
        </w:rPr>
        <w:t xml:space="preserve"> לעיל.</w:t>
      </w:r>
    </w:p>
    <w:p w:rsidR="002A3220" w:rsidRPr="0049610F" w:rsidRDefault="0049610F" w:rsidP="004961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contextualSpacing w:val="0"/>
        <w:jc w:val="both"/>
        <w:rPr>
          <w:rFonts w:ascii="David" w:hAnsi="David" w:cs="David"/>
        </w:rPr>
      </w:pPr>
      <w:r w:rsidRPr="0049610F">
        <w:rPr>
          <w:rFonts w:ascii="David" w:hAnsi="David" w:cs="David" w:hint="cs"/>
          <w:rtl/>
        </w:rPr>
        <w:t xml:space="preserve">באם כב' הנשיאה אכן דנה בשאלת ניגוד העניינים האתי, הרי שמבוקש לנמק את הכרעתה בעניין שכן בפסה"ד אין כל נימוק, </w:t>
      </w:r>
      <w:r>
        <w:rPr>
          <w:rFonts w:ascii="David" w:hAnsi="David" w:cs="David" w:hint="cs"/>
          <w:rtl/>
        </w:rPr>
        <w:t>ו</w:t>
      </w:r>
      <w:r w:rsidR="00B21281" w:rsidRPr="0049610F">
        <w:rPr>
          <w:rFonts w:ascii="David" w:hAnsi="David" w:cs="David" w:hint="cs"/>
          <w:rtl/>
        </w:rPr>
        <w:t xml:space="preserve">הרי </w:t>
      </w:r>
      <w:r w:rsidR="00B21281" w:rsidRPr="0049610F">
        <w:rPr>
          <w:rFonts w:ascii="David" w:hAnsi="David" w:cs="David" w:hint="cs"/>
          <w:b/>
          <w:bCs/>
          <w:rtl/>
        </w:rPr>
        <w:t>"</w:t>
      </w:r>
      <w:r w:rsidR="00B21281" w:rsidRPr="0049610F">
        <w:rPr>
          <w:rFonts w:ascii="David" w:hAnsi="David" w:cs="David"/>
          <w:b/>
          <w:bCs/>
          <w:rtl/>
        </w:rPr>
        <w:t>להנמקה חלק חשוב בתהליך של גיבוש ההחלטה ובלעדיה לא ניתן לומר שזכה להתברר בביהמ"ש.</w:t>
      </w:r>
      <w:r w:rsidR="00B21281" w:rsidRPr="0049610F">
        <w:rPr>
          <w:rFonts w:ascii="David" w:hAnsi="David" w:cs="David" w:hint="cs"/>
          <w:b/>
          <w:bCs/>
          <w:rtl/>
        </w:rPr>
        <w:t>"</w:t>
      </w:r>
      <w:r w:rsidR="00B21281" w:rsidRPr="0049610F">
        <w:rPr>
          <w:rFonts w:ascii="David" w:hAnsi="David" w:cs="David" w:hint="cs"/>
          <w:rtl/>
        </w:rPr>
        <w:t xml:space="preserve"> (רע"א 1982/05 </w:t>
      </w:r>
      <w:r w:rsidR="00B21281" w:rsidRPr="0049610F">
        <w:rPr>
          <w:rFonts w:ascii="David" w:hAnsi="David" w:cs="David" w:hint="cs"/>
          <w:b/>
          <w:bCs/>
          <w:rtl/>
        </w:rPr>
        <w:t>מקומון קול הצפון נ' פלוני</w:t>
      </w:r>
      <w:r w:rsidR="00B21281" w:rsidRPr="0049610F">
        <w:rPr>
          <w:rFonts w:ascii="David" w:hAnsi="David" w:cs="David" w:hint="cs"/>
          <w:rtl/>
        </w:rPr>
        <w:t>)</w:t>
      </w:r>
      <w:r w:rsidR="001D4168" w:rsidRPr="0049610F">
        <w:rPr>
          <w:rFonts w:ascii="David" w:hAnsi="David" w:cs="David" w:hint="cs"/>
          <w:rtl/>
        </w:rPr>
        <w:t>.</w:t>
      </w:r>
    </w:p>
    <w:p w:rsidR="002F6729" w:rsidRDefault="002F6729" w:rsidP="001B667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הצורך במתן החלטה בבקשה זאת נו</w:t>
      </w:r>
      <w:r w:rsidR="001B667F">
        <w:rPr>
          <w:rFonts w:ascii="David" w:hAnsi="David" w:cs="David" w:hint="cs"/>
          <w:rtl/>
        </w:rPr>
        <w:t>ב</w:t>
      </w:r>
      <w:r>
        <w:rPr>
          <w:rFonts w:ascii="David" w:hAnsi="David" w:cs="David" w:hint="cs"/>
          <w:rtl/>
        </w:rPr>
        <w:t>ע מכך שהמערער טוען לעיוות דין קשה ועוול גדול הנובע מניגוד עניינים קשה</w:t>
      </w:r>
      <w:r w:rsidR="001B667F">
        <w:rPr>
          <w:rFonts w:ascii="David" w:hAnsi="David" w:cs="David" w:hint="cs"/>
          <w:rtl/>
        </w:rPr>
        <w:t xml:space="preserve"> וחריף</w:t>
      </w:r>
      <w:r>
        <w:rPr>
          <w:rFonts w:ascii="David" w:hAnsi="David" w:cs="David" w:hint="cs"/>
          <w:rtl/>
        </w:rPr>
        <w:t xml:space="preserve"> זה, ו</w:t>
      </w:r>
      <w:r w:rsidR="001B667F">
        <w:rPr>
          <w:rFonts w:ascii="David" w:hAnsi="David" w:cs="David" w:hint="cs"/>
          <w:rtl/>
        </w:rPr>
        <w:t xml:space="preserve">ע"פ זכותו </w:t>
      </w:r>
      <w:r>
        <w:rPr>
          <w:rFonts w:ascii="David" w:hAnsi="David" w:cs="David" w:hint="cs"/>
          <w:rtl/>
        </w:rPr>
        <w:t xml:space="preserve"> למשפט ע"פ סע' 6 לחוק יסוד: השפיטה</w:t>
      </w:r>
      <w:r w:rsidR="00A422AB">
        <w:rPr>
          <w:rFonts w:ascii="David" w:hAnsi="David" w:cs="David" w:hint="cs"/>
          <w:rtl/>
        </w:rPr>
        <w:t xml:space="preserve"> המקנה לו זכות יסוד זאת, ו</w:t>
      </w:r>
      <w:r>
        <w:rPr>
          <w:rFonts w:ascii="David" w:hAnsi="David" w:cs="David" w:hint="cs"/>
          <w:rtl/>
        </w:rPr>
        <w:t>להביא את עניינו לטריבונל המוסמך והמתאים באם אין בסמכותה של הנשיאה לדון בשאלות מתחום האתיקה כמפורט במאמרה של זר-גוטמן, ואף לפנות למחוקק בעניין זה, ובמיוחד לאור הנתונים הקונקרטיים שבשני כתבי הערעור ובנספחיהם.</w:t>
      </w:r>
    </w:p>
    <w:p w:rsidR="008F2B8B" w:rsidRPr="007D7BA5" w:rsidRDefault="00C03474" w:rsidP="00EC79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contextualSpacing w:val="0"/>
        <w:jc w:val="both"/>
        <w:rPr>
          <w:rFonts w:ascii="David" w:hAnsi="David" w:cs="David"/>
        </w:rPr>
      </w:pPr>
      <w:r w:rsidRPr="007D7BA5">
        <w:rPr>
          <w:rFonts w:ascii="David" w:hAnsi="David" w:cs="David" w:hint="cs"/>
          <w:rtl/>
        </w:rPr>
        <w:t xml:space="preserve">לאור כל האמור לעיל, </w:t>
      </w:r>
      <w:r w:rsidR="00EC7924">
        <w:rPr>
          <w:rFonts w:ascii="David" w:hAnsi="David" w:cs="David" w:hint="cs"/>
          <w:rtl/>
        </w:rPr>
        <w:t xml:space="preserve">מבוקש </w:t>
      </w:r>
      <w:proofErr w:type="spellStart"/>
      <w:r w:rsidR="00EC7924">
        <w:rPr>
          <w:rFonts w:ascii="David" w:hAnsi="David" w:cs="David" w:hint="cs"/>
          <w:rtl/>
        </w:rPr>
        <w:t>מכב</w:t>
      </w:r>
      <w:proofErr w:type="spellEnd"/>
      <w:r w:rsidR="00EC7924">
        <w:rPr>
          <w:rFonts w:ascii="David" w:hAnsi="David" w:cs="David" w:hint="cs"/>
          <w:rtl/>
        </w:rPr>
        <w:t>' הנשיאה להבהיר ולנמק כמבוקש בבקשה זאת</w:t>
      </w:r>
      <w:r w:rsidR="007D7BA5" w:rsidRPr="007D7BA5">
        <w:rPr>
          <w:rFonts w:ascii="David" w:hAnsi="David" w:cs="David" w:hint="cs"/>
          <w:rtl/>
        </w:rPr>
        <w:t>.</w:t>
      </w:r>
    </w:p>
    <w:p w:rsidR="009B5E1C" w:rsidRDefault="009B5E1C" w:rsidP="009B5E1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מן הדין ומן הצדק להיעתר לבקשה זאת.</w:t>
      </w:r>
    </w:p>
    <w:p w:rsidR="009B5E1C" w:rsidRDefault="009B5E1C" w:rsidP="00EC79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line="360" w:lineRule="auto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לבקשה לא מצורף תצהיר שכן כל </w:t>
      </w:r>
      <w:r w:rsidR="00EC7924">
        <w:rPr>
          <w:rFonts w:ascii="David" w:hAnsi="David" w:cs="David" w:hint="cs"/>
          <w:rtl/>
        </w:rPr>
        <w:t>כולה מבוססת על עובדות ואסמכתאות שבפני ביהמ"ש הנכבד</w:t>
      </w:r>
      <w:r w:rsidR="006E7C81">
        <w:rPr>
          <w:rFonts w:ascii="David" w:hAnsi="David" w:cs="David" w:hint="cs"/>
          <w:rtl/>
        </w:rPr>
        <w:t xml:space="preserve"> ובנט המשפט, </w:t>
      </w:r>
      <w:r w:rsidR="00E97305">
        <w:rPr>
          <w:rFonts w:ascii="David" w:hAnsi="David" w:cs="David" w:hint="cs"/>
          <w:rtl/>
        </w:rPr>
        <w:t>ואם יידרש, יוסיף תצהיר, ובלבד שהבקשה לא תדחה מטעם זה בלבד.</w:t>
      </w:r>
    </w:p>
    <w:p w:rsidR="00EC7924" w:rsidRDefault="00EC7924" w:rsidP="007D7BA5">
      <w:pPr>
        <w:autoSpaceDE w:val="0"/>
        <w:autoSpaceDN w:val="0"/>
        <w:bidi/>
        <w:adjustRightInd w:val="0"/>
        <w:spacing w:before="240" w:line="360" w:lineRule="auto"/>
        <w:ind w:left="5761"/>
        <w:jc w:val="both"/>
        <w:rPr>
          <w:rFonts w:ascii="David" w:hAnsi="David" w:cs="David"/>
          <w:rtl/>
        </w:rPr>
      </w:pPr>
    </w:p>
    <w:p w:rsidR="00E97305" w:rsidRDefault="009B5E1C" w:rsidP="00EC7924">
      <w:pPr>
        <w:autoSpaceDE w:val="0"/>
        <w:autoSpaceDN w:val="0"/>
        <w:bidi/>
        <w:adjustRightInd w:val="0"/>
        <w:spacing w:before="240" w:line="360" w:lineRule="auto"/>
        <w:ind w:left="5761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אילן קירשנבאום,</w:t>
      </w:r>
      <w:r w:rsidR="007D7BA5">
        <w:rPr>
          <w:rFonts w:ascii="David" w:hAnsi="David" w:cs="David" w:hint="cs"/>
          <w:rtl/>
        </w:rPr>
        <w:t xml:space="preserve"> </w:t>
      </w:r>
    </w:p>
    <w:p w:rsidR="009B5E1C" w:rsidRPr="009B5E1C" w:rsidRDefault="00EC7924" w:rsidP="00E97305">
      <w:pPr>
        <w:autoSpaceDE w:val="0"/>
        <w:autoSpaceDN w:val="0"/>
        <w:bidi/>
        <w:adjustRightInd w:val="0"/>
        <w:spacing w:line="360" w:lineRule="auto"/>
        <w:ind w:left="5761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המערער בשני הערעורים.</w:t>
      </w:r>
    </w:p>
    <w:sectPr w:rsidR="009B5E1C" w:rsidRPr="009B5E1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AC" w:rsidRDefault="00FA4DAC" w:rsidP="00632F87">
      <w:r>
        <w:separator/>
      </w:r>
    </w:p>
  </w:endnote>
  <w:endnote w:type="continuationSeparator" w:id="0">
    <w:p w:rsidR="00FA4DAC" w:rsidRDefault="00FA4DAC" w:rsidP="0063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343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6AA" w:rsidRDefault="001056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56AA" w:rsidRDefault="001056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AC" w:rsidRDefault="00FA4DAC" w:rsidP="00632F87">
      <w:r>
        <w:separator/>
      </w:r>
    </w:p>
  </w:footnote>
  <w:footnote w:type="continuationSeparator" w:id="0">
    <w:p w:rsidR="00FA4DAC" w:rsidRDefault="00FA4DAC" w:rsidP="0063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6666"/>
    <w:multiLevelType w:val="hybridMultilevel"/>
    <w:tmpl w:val="CFA4623E"/>
    <w:lvl w:ilvl="0" w:tplc="7F68479C">
      <w:start w:val="1"/>
      <w:numFmt w:val="hebrew1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813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AC04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2279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5A"/>
    <w:rsid w:val="000437A6"/>
    <w:rsid w:val="00061D69"/>
    <w:rsid w:val="00066378"/>
    <w:rsid w:val="0007703C"/>
    <w:rsid w:val="000A42C1"/>
    <w:rsid w:val="000C5169"/>
    <w:rsid w:val="000D48FD"/>
    <w:rsid w:val="000E37D6"/>
    <w:rsid w:val="000E38F9"/>
    <w:rsid w:val="00100676"/>
    <w:rsid w:val="001056AA"/>
    <w:rsid w:val="001132E7"/>
    <w:rsid w:val="001719A2"/>
    <w:rsid w:val="00172AD9"/>
    <w:rsid w:val="0018313A"/>
    <w:rsid w:val="001A6386"/>
    <w:rsid w:val="001B0D21"/>
    <w:rsid w:val="001B667F"/>
    <w:rsid w:val="001C480C"/>
    <w:rsid w:val="001D4168"/>
    <w:rsid w:val="001D472D"/>
    <w:rsid w:val="001E4348"/>
    <w:rsid w:val="00201EFE"/>
    <w:rsid w:val="002156BD"/>
    <w:rsid w:val="00223516"/>
    <w:rsid w:val="00227C3B"/>
    <w:rsid w:val="00244739"/>
    <w:rsid w:val="00275D13"/>
    <w:rsid w:val="00282859"/>
    <w:rsid w:val="00286819"/>
    <w:rsid w:val="00292A0F"/>
    <w:rsid w:val="002932FE"/>
    <w:rsid w:val="00293E48"/>
    <w:rsid w:val="00294D4D"/>
    <w:rsid w:val="002A3220"/>
    <w:rsid w:val="002A639E"/>
    <w:rsid w:val="002D4890"/>
    <w:rsid w:val="002E268D"/>
    <w:rsid w:val="002E5B1A"/>
    <w:rsid w:val="002F6729"/>
    <w:rsid w:val="00316ABA"/>
    <w:rsid w:val="00317358"/>
    <w:rsid w:val="003321C7"/>
    <w:rsid w:val="003347AB"/>
    <w:rsid w:val="00353ACE"/>
    <w:rsid w:val="00356524"/>
    <w:rsid w:val="00386D66"/>
    <w:rsid w:val="00392E15"/>
    <w:rsid w:val="00394EF7"/>
    <w:rsid w:val="003955E1"/>
    <w:rsid w:val="003C3D73"/>
    <w:rsid w:val="003C5136"/>
    <w:rsid w:val="003D2C42"/>
    <w:rsid w:val="003F7EBF"/>
    <w:rsid w:val="00401E50"/>
    <w:rsid w:val="00423762"/>
    <w:rsid w:val="004435A9"/>
    <w:rsid w:val="0045000A"/>
    <w:rsid w:val="004668F2"/>
    <w:rsid w:val="00471878"/>
    <w:rsid w:val="0049610F"/>
    <w:rsid w:val="004A546C"/>
    <w:rsid w:val="004C7B06"/>
    <w:rsid w:val="004C7F98"/>
    <w:rsid w:val="004D0C17"/>
    <w:rsid w:val="004F1561"/>
    <w:rsid w:val="004F1858"/>
    <w:rsid w:val="004F26AE"/>
    <w:rsid w:val="004F5A34"/>
    <w:rsid w:val="004F64C2"/>
    <w:rsid w:val="0050302C"/>
    <w:rsid w:val="00552F57"/>
    <w:rsid w:val="005542CF"/>
    <w:rsid w:val="00560412"/>
    <w:rsid w:val="00566FE8"/>
    <w:rsid w:val="00575B57"/>
    <w:rsid w:val="005807FA"/>
    <w:rsid w:val="005C188A"/>
    <w:rsid w:val="005E70DC"/>
    <w:rsid w:val="0062686D"/>
    <w:rsid w:val="00632F87"/>
    <w:rsid w:val="00634270"/>
    <w:rsid w:val="0064015D"/>
    <w:rsid w:val="0064449C"/>
    <w:rsid w:val="006468F5"/>
    <w:rsid w:val="00674FF3"/>
    <w:rsid w:val="00677231"/>
    <w:rsid w:val="006A1E44"/>
    <w:rsid w:val="006B0E93"/>
    <w:rsid w:val="006D04F6"/>
    <w:rsid w:val="006E7C81"/>
    <w:rsid w:val="00711105"/>
    <w:rsid w:val="007205A5"/>
    <w:rsid w:val="00721AA6"/>
    <w:rsid w:val="00724E30"/>
    <w:rsid w:val="007313EF"/>
    <w:rsid w:val="0075562C"/>
    <w:rsid w:val="007755B3"/>
    <w:rsid w:val="007B248A"/>
    <w:rsid w:val="007D7BA5"/>
    <w:rsid w:val="0080299F"/>
    <w:rsid w:val="00825E20"/>
    <w:rsid w:val="0083732F"/>
    <w:rsid w:val="00891297"/>
    <w:rsid w:val="008A7B5A"/>
    <w:rsid w:val="008B01B2"/>
    <w:rsid w:val="008C031D"/>
    <w:rsid w:val="008F1AE2"/>
    <w:rsid w:val="008F2476"/>
    <w:rsid w:val="008F2B8B"/>
    <w:rsid w:val="00902593"/>
    <w:rsid w:val="0090563F"/>
    <w:rsid w:val="00915E56"/>
    <w:rsid w:val="00924337"/>
    <w:rsid w:val="00925765"/>
    <w:rsid w:val="00950033"/>
    <w:rsid w:val="00952275"/>
    <w:rsid w:val="009604DD"/>
    <w:rsid w:val="00970F68"/>
    <w:rsid w:val="00972445"/>
    <w:rsid w:val="00973F38"/>
    <w:rsid w:val="00977763"/>
    <w:rsid w:val="00983FE1"/>
    <w:rsid w:val="0099100C"/>
    <w:rsid w:val="009A7D50"/>
    <w:rsid w:val="009B5E1C"/>
    <w:rsid w:val="009B7C25"/>
    <w:rsid w:val="009B7C63"/>
    <w:rsid w:val="009C22A0"/>
    <w:rsid w:val="009E59C2"/>
    <w:rsid w:val="009E7547"/>
    <w:rsid w:val="00A11EBF"/>
    <w:rsid w:val="00A12207"/>
    <w:rsid w:val="00A422AB"/>
    <w:rsid w:val="00A4325A"/>
    <w:rsid w:val="00A62CF7"/>
    <w:rsid w:val="00A707D8"/>
    <w:rsid w:val="00AA42DD"/>
    <w:rsid w:val="00AD1BF5"/>
    <w:rsid w:val="00B21281"/>
    <w:rsid w:val="00B24DCD"/>
    <w:rsid w:val="00B43E81"/>
    <w:rsid w:val="00B7246D"/>
    <w:rsid w:val="00B82FA8"/>
    <w:rsid w:val="00B8321D"/>
    <w:rsid w:val="00B87B0A"/>
    <w:rsid w:val="00B928AB"/>
    <w:rsid w:val="00B9614B"/>
    <w:rsid w:val="00BA504E"/>
    <w:rsid w:val="00BB0C5A"/>
    <w:rsid w:val="00BE0BC4"/>
    <w:rsid w:val="00BE588D"/>
    <w:rsid w:val="00BF009D"/>
    <w:rsid w:val="00BF3C27"/>
    <w:rsid w:val="00C03474"/>
    <w:rsid w:val="00C040E3"/>
    <w:rsid w:val="00C35A2C"/>
    <w:rsid w:val="00C36CDC"/>
    <w:rsid w:val="00C7075B"/>
    <w:rsid w:val="00CF3C10"/>
    <w:rsid w:val="00D02F9F"/>
    <w:rsid w:val="00D15B23"/>
    <w:rsid w:val="00D22501"/>
    <w:rsid w:val="00D55441"/>
    <w:rsid w:val="00D6261C"/>
    <w:rsid w:val="00D70717"/>
    <w:rsid w:val="00D84528"/>
    <w:rsid w:val="00D84BE8"/>
    <w:rsid w:val="00DA1D5F"/>
    <w:rsid w:val="00E32926"/>
    <w:rsid w:val="00E42B3D"/>
    <w:rsid w:val="00E62FA6"/>
    <w:rsid w:val="00E6325B"/>
    <w:rsid w:val="00E712EE"/>
    <w:rsid w:val="00E75BE2"/>
    <w:rsid w:val="00E90BCF"/>
    <w:rsid w:val="00E97305"/>
    <w:rsid w:val="00E9796F"/>
    <w:rsid w:val="00EA1398"/>
    <w:rsid w:val="00EB4383"/>
    <w:rsid w:val="00EB5C21"/>
    <w:rsid w:val="00EC6D74"/>
    <w:rsid w:val="00EC7924"/>
    <w:rsid w:val="00EE0831"/>
    <w:rsid w:val="00EF4012"/>
    <w:rsid w:val="00F11B63"/>
    <w:rsid w:val="00F25FB9"/>
    <w:rsid w:val="00F26978"/>
    <w:rsid w:val="00F4752A"/>
    <w:rsid w:val="00F562B4"/>
    <w:rsid w:val="00F8420D"/>
    <w:rsid w:val="00F942F0"/>
    <w:rsid w:val="00F96A6F"/>
    <w:rsid w:val="00FA2110"/>
    <w:rsid w:val="00FA4DAC"/>
    <w:rsid w:val="00FE552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2DD48-9FA2-4C36-8BB9-862606D1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86D"/>
    <w:pPr>
      <w:ind w:left="720"/>
      <w:contextualSpacing/>
    </w:pPr>
  </w:style>
  <w:style w:type="paragraph" w:styleId="Header">
    <w:name w:val="header"/>
    <w:basedOn w:val="Normal"/>
    <w:link w:val="HeaderChar"/>
    <w:rsid w:val="00632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2F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32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F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36AA5-B91B-437E-B33E-BE060588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Kir</dc:creator>
  <cp:keywords/>
  <dc:description/>
  <cp:lastModifiedBy>Ilan Kir</cp:lastModifiedBy>
  <cp:revision>14</cp:revision>
  <cp:lastPrinted>2021-01-14T12:04:00Z</cp:lastPrinted>
  <dcterms:created xsi:type="dcterms:W3CDTF">2021-01-14T11:46:00Z</dcterms:created>
  <dcterms:modified xsi:type="dcterms:W3CDTF">2021-01-14T12:06:00Z</dcterms:modified>
</cp:coreProperties>
</file>